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1</w:t>
      </w: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rPr>
          <w:rFonts w:hint="eastAsia" w:asciiTheme="majorEastAsia" w:hAnsiTheme="majorEastAsia" w:eastAsiaTheme="majorEastAsia" w:cstheme="majorEastAsia"/>
          <w:b/>
          <w:bCs/>
          <w:sz w:val="44"/>
          <w:szCs w:val="44"/>
        </w:rPr>
      </w:pPr>
      <w:bookmarkStart w:id="0" w:name="_GoBack"/>
      <w:r>
        <w:rPr>
          <w:rFonts w:hint="eastAsia" w:asciiTheme="majorEastAsia" w:hAnsiTheme="majorEastAsia" w:eastAsiaTheme="majorEastAsia" w:cstheme="majorEastAsia"/>
          <w:b/>
          <w:bCs/>
          <w:sz w:val="44"/>
          <w:szCs w:val="44"/>
        </w:rPr>
        <w:t>201</w:t>
      </w:r>
      <w:r>
        <w:rPr>
          <w:rFonts w:hint="eastAsia" w:asciiTheme="majorEastAsia" w:hAnsiTheme="majorEastAsia" w:eastAsiaTheme="majorEastAsia" w:cstheme="majorEastAsia"/>
          <w:b/>
          <w:bCs/>
          <w:sz w:val="44"/>
          <w:szCs w:val="44"/>
          <w:lang w:val="en-US" w:eastAsia="zh-CN"/>
        </w:rPr>
        <w:t>8</w:t>
      </w:r>
      <w:r>
        <w:rPr>
          <w:rFonts w:hint="eastAsia" w:asciiTheme="majorEastAsia" w:hAnsiTheme="majorEastAsia" w:eastAsiaTheme="majorEastAsia" w:cstheme="majorEastAsia"/>
          <w:b/>
          <w:bCs/>
          <w:sz w:val="44"/>
          <w:szCs w:val="44"/>
        </w:rPr>
        <w:t>年度石家庄市思想政治工作</w:t>
      </w: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研究课题指南</w:t>
      </w:r>
    </w:p>
    <w:bookmarkEnd w:id="0"/>
    <w:p>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黑体" w:hAnsi="黑体" w:eastAsia="黑体" w:cs="黑体"/>
          <w:b w:val="0"/>
          <w:bCs w:val="0"/>
          <w:i w:val="0"/>
          <w:caps w:val="0"/>
          <w:color w:val="auto"/>
          <w:spacing w:val="0"/>
          <w:sz w:val="32"/>
          <w:szCs w:val="32"/>
          <w:u w:val="none"/>
          <w:shd w:val="clear" w:fill="FFFFFF"/>
          <w:lang w:val="en-US" w:eastAsia="zh-CN"/>
        </w:rPr>
      </w:pPr>
      <w:r>
        <w:rPr>
          <w:rFonts w:hint="eastAsia" w:ascii="黑体" w:hAnsi="黑体" w:eastAsia="黑体" w:cs="黑体"/>
          <w:b w:val="0"/>
          <w:bCs w:val="0"/>
          <w:i w:val="0"/>
          <w:caps w:val="0"/>
          <w:color w:val="auto"/>
          <w:spacing w:val="0"/>
          <w:sz w:val="32"/>
          <w:szCs w:val="32"/>
          <w:u w:val="none"/>
          <w:shd w:val="clear" w:fill="FFFFFF"/>
          <w:lang w:val="en-US" w:eastAsia="zh-CN"/>
        </w:rPr>
        <w:t>一、社会主义核心价值观建设研究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1.</w:t>
      </w:r>
      <w:r>
        <w:rPr>
          <w:rFonts w:hint="eastAsia" w:ascii="仿宋_GB2312" w:hAnsi="仿宋_GB2312" w:eastAsia="仿宋_GB2312" w:cs="仿宋_GB2312"/>
          <w:b w:val="0"/>
          <w:i w:val="0"/>
          <w:caps w:val="0"/>
          <w:color w:val="auto"/>
          <w:spacing w:val="0"/>
          <w:sz w:val="32"/>
          <w:szCs w:val="32"/>
          <w:shd w:val="clear" w:fill="FFFFFF"/>
          <w:lang w:eastAsia="zh-CN"/>
        </w:rPr>
        <w:t>提升社会主义核心价值观感召力，推动核心价值观更好融入社会生活的调查研究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eastAsia="zh-CN"/>
        </w:rPr>
      </w:pPr>
      <w:r>
        <w:rPr>
          <w:rFonts w:hint="eastAsia" w:ascii="仿宋_GB2312" w:hAnsi="仿宋_GB2312" w:eastAsia="仿宋_GB2312" w:cs="仿宋_GB2312"/>
          <w:b w:val="0"/>
          <w:bCs w:val="0"/>
          <w:i w:val="0"/>
          <w:caps w:val="0"/>
          <w:color w:val="auto"/>
          <w:spacing w:val="0"/>
          <w:sz w:val="32"/>
          <w:szCs w:val="32"/>
          <w:u w:val="none"/>
          <w:shd w:val="clear" w:fill="FFFFFF"/>
          <w:lang w:val="en-US" w:eastAsia="zh-CN"/>
        </w:rPr>
        <w:t>2.</w:t>
      </w:r>
      <w:r>
        <w:rPr>
          <w:rFonts w:hint="eastAsia" w:ascii="仿宋_GB2312" w:hAnsi="仿宋_GB2312" w:eastAsia="仿宋_GB2312" w:cs="仿宋_GB2312"/>
          <w:b w:val="0"/>
          <w:i w:val="0"/>
          <w:caps w:val="0"/>
          <w:color w:val="auto"/>
          <w:spacing w:val="0"/>
          <w:sz w:val="32"/>
          <w:szCs w:val="32"/>
          <w:shd w:val="clear" w:fill="FFFFFF"/>
          <w:lang w:val="en-US" w:eastAsia="zh-CN"/>
        </w:rPr>
        <w:t>完善和巩固</w:t>
      </w:r>
      <w:r>
        <w:rPr>
          <w:rFonts w:hint="eastAsia" w:ascii="仿宋_GB2312" w:hAnsi="仿宋_GB2312" w:eastAsia="仿宋_GB2312" w:cs="仿宋_GB2312"/>
          <w:b w:val="0"/>
          <w:i w:val="0"/>
          <w:caps w:val="0"/>
          <w:color w:val="auto"/>
          <w:spacing w:val="0"/>
          <w:sz w:val="32"/>
          <w:szCs w:val="32"/>
          <w:shd w:val="clear" w:fill="FFFFFF"/>
        </w:rPr>
        <w:t>社会主义核心价值观网上传播阵地的</w:t>
      </w:r>
      <w:r>
        <w:rPr>
          <w:rFonts w:hint="eastAsia" w:ascii="仿宋_GB2312" w:hAnsi="仿宋_GB2312" w:eastAsia="仿宋_GB2312" w:cs="仿宋_GB2312"/>
          <w:b w:val="0"/>
          <w:i w:val="0"/>
          <w:caps w:val="0"/>
          <w:color w:val="auto"/>
          <w:spacing w:val="0"/>
          <w:sz w:val="32"/>
          <w:szCs w:val="32"/>
          <w:shd w:val="clear" w:fill="FFFFFF"/>
          <w:lang w:eastAsia="zh-CN"/>
        </w:rPr>
        <w:t>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bCs w:val="0"/>
          <w:i w:val="0"/>
          <w:caps w:val="0"/>
          <w:color w:val="auto"/>
          <w:spacing w:val="0"/>
          <w:sz w:val="32"/>
          <w:szCs w:val="32"/>
          <w:u w:val="none"/>
          <w:shd w:val="clear" w:fill="FFFFFF"/>
          <w:lang w:val="en-US" w:eastAsia="zh-CN"/>
        </w:rPr>
      </w:pPr>
      <w:r>
        <w:rPr>
          <w:rFonts w:hint="eastAsia" w:ascii="仿宋_GB2312" w:hAnsi="仿宋_GB2312" w:eastAsia="仿宋_GB2312" w:cs="仿宋_GB2312"/>
          <w:b w:val="0"/>
          <w:bCs w:val="0"/>
          <w:i w:val="0"/>
          <w:caps w:val="0"/>
          <w:color w:val="auto"/>
          <w:spacing w:val="0"/>
          <w:sz w:val="32"/>
          <w:szCs w:val="32"/>
          <w:u w:val="none"/>
          <w:shd w:val="clear" w:fill="FFFFFF"/>
          <w:lang w:val="en-US" w:eastAsia="zh-CN"/>
        </w:rPr>
        <w:t>3.坚定文化自信，讲好石家庄故事，传播好石家庄声音的路径研究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bCs w:val="0"/>
          <w:i w:val="0"/>
          <w:caps w:val="0"/>
          <w:color w:val="auto"/>
          <w:spacing w:val="0"/>
          <w:sz w:val="32"/>
          <w:szCs w:val="32"/>
          <w:u w:val="none"/>
          <w:shd w:val="clear" w:fill="FFFFFF"/>
          <w:lang w:val="en-US" w:eastAsia="zh-CN"/>
        </w:rPr>
      </w:pPr>
      <w:r>
        <w:rPr>
          <w:rFonts w:hint="eastAsia" w:ascii="仿宋_GB2312" w:hAnsi="仿宋_GB2312" w:eastAsia="仿宋_GB2312" w:cs="仿宋_GB2312"/>
          <w:b w:val="0"/>
          <w:bCs w:val="0"/>
          <w:i w:val="0"/>
          <w:caps w:val="0"/>
          <w:color w:val="auto"/>
          <w:spacing w:val="0"/>
          <w:sz w:val="32"/>
          <w:szCs w:val="32"/>
          <w:u w:val="none"/>
          <w:shd w:val="clear" w:fill="FFFFFF"/>
          <w:lang w:val="en-US" w:eastAsia="zh-CN"/>
        </w:rPr>
        <w:t>4.弘扬中华优秀传统文化，以优良</w:t>
      </w:r>
      <w:r>
        <w:rPr>
          <w:rFonts w:hint="eastAsia" w:ascii="仿宋_GB2312" w:hAnsi="仿宋_GB2312" w:eastAsia="仿宋_GB2312" w:cs="仿宋_GB2312"/>
          <w:b w:val="0"/>
          <w:i w:val="0"/>
          <w:caps w:val="0"/>
          <w:color w:val="auto"/>
          <w:spacing w:val="0"/>
          <w:sz w:val="32"/>
          <w:szCs w:val="32"/>
          <w:shd w:val="clear" w:fill="FFFFFF"/>
          <w:lang w:val="en-US" w:eastAsia="zh-CN"/>
        </w:rPr>
        <w:t>家风引导社会新风尚的调查研究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caps w:val="0"/>
          <w:color w:val="auto"/>
          <w:spacing w:val="0"/>
          <w:sz w:val="32"/>
          <w:szCs w:val="32"/>
          <w:u w:val="none"/>
          <w:shd w:val="clear" w:fill="FFFFFF"/>
          <w:lang w:val="en-US" w:eastAsia="zh-CN"/>
        </w:rPr>
        <w:t>5.继承革命文化，发挥好爱国主义教育基地作用的调查研究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黑体" w:hAnsi="黑体" w:eastAsia="黑体" w:cs="黑体"/>
          <w:b w:val="0"/>
          <w:bCs w:val="0"/>
          <w:i w:val="0"/>
          <w:caps w:val="0"/>
          <w:color w:val="auto"/>
          <w:spacing w:val="0"/>
          <w:sz w:val="32"/>
          <w:szCs w:val="32"/>
          <w:u w:val="none"/>
          <w:shd w:val="clear" w:fill="FFFFFF"/>
          <w:lang w:val="en-US" w:eastAsia="zh-CN"/>
        </w:rPr>
      </w:pPr>
      <w:r>
        <w:rPr>
          <w:rFonts w:hint="eastAsia" w:ascii="黑体" w:hAnsi="黑体" w:eastAsia="黑体" w:cs="黑体"/>
          <w:b w:val="0"/>
          <w:bCs w:val="0"/>
          <w:i w:val="0"/>
          <w:caps w:val="0"/>
          <w:color w:val="auto"/>
          <w:spacing w:val="0"/>
          <w:sz w:val="32"/>
          <w:szCs w:val="32"/>
          <w:u w:val="none"/>
          <w:shd w:val="clear" w:fill="FFFFFF"/>
          <w:lang w:val="en-US" w:eastAsia="zh-CN"/>
        </w:rPr>
        <w:t>二、宣传思想文化重点工作研究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1.</w:t>
      </w:r>
      <w:r>
        <w:rPr>
          <w:rFonts w:hint="default" w:ascii="仿宋_GB2312" w:hAnsi="仿宋_GB2312" w:eastAsia="仿宋_GB2312" w:cs="仿宋_GB2312"/>
          <w:b w:val="0"/>
          <w:i w:val="0"/>
          <w:caps w:val="0"/>
          <w:color w:val="auto"/>
          <w:spacing w:val="0"/>
          <w:sz w:val="32"/>
          <w:szCs w:val="32"/>
          <w:shd w:val="clear" w:fill="FFFFFF"/>
          <w:lang w:val="en-US" w:eastAsia="zh-CN"/>
        </w:rPr>
        <w:t>推动习近平新时代中国特色社会主义思想深入人心</w:t>
      </w:r>
      <w:r>
        <w:rPr>
          <w:rFonts w:hint="eastAsia" w:ascii="仿宋_GB2312" w:hAnsi="仿宋_GB2312" w:eastAsia="仿宋_GB2312" w:cs="仿宋_GB2312"/>
          <w:b w:val="0"/>
          <w:i w:val="0"/>
          <w:caps w:val="0"/>
          <w:color w:val="auto"/>
          <w:spacing w:val="0"/>
          <w:sz w:val="32"/>
          <w:szCs w:val="32"/>
          <w:shd w:val="clear" w:fill="FFFFFF"/>
          <w:lang w:val="en-US" w:eastAsia="zh-CN"/>
        </w:rPr>
        <w:t>落</w:t>
      </w:r>
      <w:r>
        <w:rPr>
          <w:rFonts w:hint="default" w:ascii="仿宋_GB2312" w:hAnsi="仿宋_GB2312" w:eastAsia="仿宋_GB2312" w:cs="仿宋_GB2312"/>
          <w:b w:val="0"/>
          <w:i w:val="0"/>
          <w:caps w:val="0"/>
          <w:color w:val="auto"/>
          <w:spacing w:val="0"/>
          <w:sz w:val="32"/>
          <w:szCs w:val="32"/>
          <w:shd w:val="clear" w:fill="FFFFFF"/>
          <w:lang w:val="en-US" w:eastAsia="zh-CN"/>
        </w:rPr>
        <w:t>地生根</w:t>
      </w:r>
      <w:r>
        <w:rPr>
          <w:rFonts w:hint="eastAsia" w:ascii="仿宋_GB2312" w:hAnsi="仿宋_GB2312" w:eastAsia="仿宋_GB2312" w:cs="仿宋_GB2312"/>
          <w:b w:val="0"/>
          <w:i w:val="0"/>
          <w:caps w:val="0"/>
          <w:color w:val="auto"/>
          <w:spacing w:val="0"/>
          <w:sz w:val="32"/>
          <w:szCs w:val="32"/>
          <w:shd w:val="clear" w:fill="FFFFFF"/>
          <w:lang w:val="en-US" w:eastAsia="zh-CN"/>
        </w:rPr>
        <w:t>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2.加强各级理论中心组学习，把习近平新时代中国特色社会主义思想学习宣传贯彻推向深入的调查研究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3.习近平新时代中国特色社会主义思想正定起航实践的思想理论研究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4.大力弘扬西柏坡精神奋力走好新时代长征路的思想根源研究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5.弘扬“赶考”精神，凝聚发展合力，推动“五抓五提升”战略落地见效的调查研究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6.石家庄红色资源开发与利用的调查研究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7.灵活运用新媒体，提高新闻舆论传播力、引导力、影响力、公信力的调查研究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8.自媒体环境下，掌握意识形态工作话语权的路径分析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黑体" w:hAnsi="黑体" w:eastAsia="黑体" w:cs="黑体"/>
          <w:b w:val="0"/>
          <w:bCs w:val="0"/>
          <w:i w:val="0"/>
          <w:caps w:val="0"/>
          <w:color w:val="auto"/>
          <w:spacing w:val="0"/>
          <w:sz w:val="32"/>
          <w:szCs w:val="32"/>
          <w:u w:val="none"/>
          <w:shd w:val="clear" w:fill="FFFFFF"/>
          <w:lang w:val="en-US" w:eastAsia="zh-CN"/>
        </w:rPr>
      </w:pPr>
      <w:r>
        <w:rPr>
          <w:rFonts w:hint="eastAsia" w:ascii="黑体" w:hAnsi="黑体" w:eastAsia="黑体" w:cs="黑体"/>
          <w:b w:val="0"/>
          <w:bCs w:val="0"/>
          <w:i w:val="0"/>
          <w:caps w:val="0"/>
          <w:color w:val="auto"/>
          <w:spacing w:val="0"/>
          <w:sz w:val="32"/>
          <w:szCs w:val="32"/>
          <w:u w:val="none"/>
          <w:shd w:val="clear" w:fill="FFFFFF"/>
          <w:lang w:val="en-US" w:eastAsia="zh-CN"/>
        </w:rPr>
        <w:t>三、重点领域思想政治工作研究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1.创新人文关怀和心理疏导的内容体系、方式方法、途径载体，发挥基层人文关怀心理疏导示范点作用的调查研究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2.加强高校政工队伍(辅导员队伍、思政课教师队伍)建设，改进高校思想政治工作调查研究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3.提升高校思想政治理论课质量，增强大学生对思政课的获得感的调查研究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4.加强企业政工队伍建设，加强和改进企业思想政治工作的调查研究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5.创新企业思想政治工作，提升企业文化影响力的典型案例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6.加强爱国主义教育基地宣教队伍思想建设的调查研究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7.新时代农村思想政治工作的调查研究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8.新时代社区思想政治工作的调查研究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黑体" w:hAnsi="黑体" w:eastAsia="黑体" w:cs="黑体"/>
          <w:b w:val="0"/>
          <w:bCs w:val="0"/>
          <w:i w:val="0"/>
          <w:caps w:val="0"/>
          <w:color w:val="auto"/>
          <w:spacing w:val="0"/>
          <w:sz w:val="32"/>
          <w:szCs w:val="32"/>
          <w:u w:val="none"/>
          <w:shd w:val="clear" w:fill="FFFFFF"/>
          <w:lang w:val="en-US" w:eastAsia="zh-CN"/>
        </w:rPr>
      </w:pPr>
      <w:r>
        <w:rPr>
          <w:rFonts w:hint="eastAsia" w:ascii="黑体" w:hAnsi="黑体" w:eastAsia="黑体" w:cs="黑体"/>
          <w:b w:val="0"/>
          <w:bCs w:val="0"/>
          <w:i w:val="0"/>
          <w:caps w:val="0"/>
          <w:color w:val="auto"/>
          <w:spacing w:val="0"/>
          <w:sz w:val="32"/>
          <w:szCs w:val="32"/>
          <w:u w:val="none"/>
          <w:shd w:val="clear" w:fill="FFFFFF"/>
          <w:lang w:val="en-US" w:eastAsia="zh-CN"/>
        </w:rPr>
        <w:t>四、思想政治工作创新研究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1.加快文化创意产业建设，提升文化创意对</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4+4</w:t>
      </w:r>
      <w:r>
        <w:rPr>
          <w:rFonts w:hint="eastAsia" w:ascii="仿宋_GB2312" w:eastAsia="仿宋_GB2312"/>
          <w:color w:val="auto"/>
          <w:sz w:val="32"/>
          <w:szCs w:val="32"/>
          <w:lang w:eastAsia="zh-CN"/>
        </w:rPr>
        <w:t>”现代产业发展格局构建贡献率</w:t>
      </w:r>
      <w:r>
        <w:rPr>
          <w:rFonts w:hint="eastAsia" w:ascii="仿宋_GB2312" w:hAnsi="仿宋_GB2312" w:eastAsia="仿宋_GB2312" w:cs="仿宋_GB2312"/>
          <w:b w:val="0"/>
          <w:i w:val="0"/>
          <w:caps w:val="0"/>
          <w:color w:val="auto"/>
          <w:spacing w:val="0"/>
          <w:sz w:val="32"/>
          <w:szCs w:val="32"/>
          <w:shd w:val="clear" w:fill="FFFFFF"/>
          <w:lang w:val="en-US" w:eastAsia="zh-CN"/>
        </w:rPr>
        <w:t>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2.围绕打造全省文化创意之都，推进文化创意产业实现跨越式发展的调查研究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3.提升城市管理水平智能化、系统化、长效化，巩固文明城创建成果的调查研究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4.巩固文明城创建成果，促进市民文明素质不断提升的调查研究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5.以创建全国文明县城为契机，提升县域管理水平的路径分析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6.以大数据思维推动思想政治工作创新的调查研究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7.推动基层文化阵地建设创新发展的调查研究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8.以中央厨房建设为抓手，推进媒体深度融合发展，提升党媒影响力的调查研究</w:t>
      </w:r>
    </w:p>
    <w:p>
      <w:r>
        <w:rPr>
          <w:rFonts w:hint="eastAsia" w:ascii="仿宋_GB2312" w:hAnsi="仿宋_GB2312" w:eastAsia="仿宋_GB2312" w:cs="仿宋_GB2312"/>
          <w:b w:val="0"/>
          <w:i w:val="0"/>
          <w:caps w:val="0"/>
          <w:color w:val="auto"/>
          <w:spacing w:val="0"/>
          <w:sz w:val="32"/>
          <w:szCs w:val="32"/>
          <w:shd w:val="clear" w:fill="FFFFFF"/>
          <w:lang w:val="en-US" w:eastAsia="zh-CN"/>
        </w:rPr>
        <w:t>9.加强网络综合治理体系建设，提升信息反馈和舆情应急处置能力的调查研究</w:t>
      </w:r>
      <w:r>
        <w:rPr>
          <w:rFonts w:hint="eastAsia" w:ascii="仿宋_GB2312" w:hAnsi="仿宋_GB2312" w:eastAsia="仿宋_GB2312" w:cs="仿宋_GB2312"/>
          <w:b w:val="0"/>
          <w:i w:val="0"/>
          <w:caps w:val="0"/>
          <w:color w:val="auto"/>
          <w:spacing w:val="0"/>
          <w:sz w:val="32"/>
          <w:szCs w:val="32"/>
          <w:shd w:val="clear" w:fill="FFFFFF"/>
          <w:lang w:val="en-US" w:eastAsia="zh-CN"/>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A3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user</cp:lastModifiedBy>
  <dcterms:modified xsi:type="dcterms:W3CDTF">2018-03-19T03:24:30Z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