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职称评、聘量化评价表（教师系列、马克思主义理论系列）</w:t>
      </w:r>
    </w:p>
    <w:tbl>
      <w:tblPr>
        <w:tblStyle w:val="2"/>
        <w:tblW w:w="8910" w:type="dxa"/>
        <w:jc w:val="center"/>
        <w:tblLayout w:type="fixed"/>
        <w:tblCellMar>
          <w:top w:w="0" w:type="dxa"/>
          <w:left w:w="108" w:type="dxa"/>
          <w:bottom w:w="0" w:type="dxa"/>
          <w:right w:w="108" w:type="dxa"/>
        </w:tblCellMar>
      </w:tblPr>
      <w:tblGrid>
        <w:gridCol w:w="668"/>
        <w:gridCol w:w="2654"/>
        <w:gridCol w:w="5588"/>
      </w:tblGrid>
      <w:tr>
        <w:tblPrEx>
          <w:tblCellMar>
            <w:top w:w="0" w:type="dxa"/>
            <w:left w:w="108" w:type="dxa"/>
            <w:bottom w:w="0" w:type="dxa"/>
            <w:right w:w="108" w:type="dxa"/>
          </w:tblCellMar>
        </w:tblPrEx>
        <w:trPr>
          <w:trHeight w:val="351" w:hRule="atLeast"/>
          <w:tblHeader/>
          <w:jc w:val="center"/>
        </w:trPr>
        <w:tc>
          <w:tcPr>
            <w:tcW w:w="332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黑体" w:hAnsi="黑体" w:eastAsia="黑体" w:cs="黑体"/>
                <w:b/>
                <w:bCs/>
                <w:color w:val="000000"/>
                <w:kern w:val="0"/>
                <w:sz w:val="24"/>
                <w:szCs w:val="22"/>
              </w:rPr>
            </w:pPr>
            <w:r>
              <w:rPr>
                <w:rFonts w:hint="eastAsia" w:ascii="黑体" w:hAnsi="黑体" w:eastAsia="黑体" w:cs="黑体"/>
                <w:b/>
                <w:bCs/>
                <w:color w:val="000000"/>
                <w:kern w:val="0"/>
                <w:sz w:val="24"/>
                <w:szCs w:val="22"/>
              </w:rPr>
              <w:t>评价项目</w:t>
            </w:r>
          </w:p>
        </w:tc>
        <w:tc>
          <w:tcPr>
            <w:tcW w:w="55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黑体" w:hAnsi="黑体" w:eastAsia="黑体" w:cs="黑体"/>
                <w:b/>
                <w:bCs/>
                <w:color w:val="000000"/>
                <w:kern w:val="0"/>
                <w:sz w:val="24"/>
                <w:szCs w:val="22"/>
              </w:rPr>
            </w:pPr>
            <w:r>
              <w:rPr>
                <w:rFonts w:hint="eastAsia" w:ascii="黑体" w:hAnsi="黑体" w:eastAsia="黑体" w:cs="黑体"/>
                <w:b/>
                <w:bCs/>
                <w:color w:val="000000"/>
                <w:kern w:val="0"/>
                <w:sz w:val="24"/>
                <w:szCs w:val="22"/>
              </w:rPr>
              <w:t>评价标准</w:t>
            </w:r>
          </w:p>
        </w:tc>
      </w:tr>
      <w:tr>
        <w:tblPrEx>
          <w:tblCellMar>
            <w:top w:w="0" w:type="dxa"/>
            <w:left w:w="108" w:type="dxa"/>
            <w:bottom w:w="0" w:type="dxa"/>
            <w:right w:w="108" w:type="dxa"/>
          </w:tblCellMar>
        </w:tblPrEx>
        <w:trPr>
          <w:trHeight w:val="454" w:hRule="atLeast"/>
          <w:jc w:val="center"/>
        </w:trPr>
        <w:tc>
          <w:tcPr>
            <w:tcW w:w="668"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bCs/>
                <w:color w:val="000000"/>
                <w:kern w:val="0"/>
                <w:sz w:val="23"/>
                <w:szCs w:val="23"/>
              </w:rPr>
            </w:pPr>
            <w:r>
              <w:rPr>
                <w:rFonts w:hint="eastAsia" w:ascii="黑体" w:hAnsi="黑体" w:eastAsia="黑体" w:cs="黑体"/>
                <w:b/>
                <w:bCs/>
                <w:color w:val="000000"/>
                <w:kern w:val="0"/>
                <w:sz w:val="23"/>
                <w:szCs w:val="23"/>
              </w:rPr>
              <w:t>基本</w:t>
            </w:r>
          </w:p>
          <w:p>
            <w:pPr>
              <w:widowControl/>
              <w:adjustRightInd w:val="0"/>
              <w:snapToGrid w:val="0"/>
              <w:jc w:val="center"/>
              <w:rPr>
                <w:rFonts w:hint="eastAsia" w:ascii="黑体" w:hAnsi="黑体" w:eastAsia="黑体" w:cs="黑体"/>
                <w:b/>
                <w:bCs/>
                <w:color w:val="000000"/>
                <w:kern w:val="0"/>
                <w:sz w:val="23"/>
                <w:szCs w:val="23"/>
              </w:rPr>
            </w:pPr>
            <w:r>
              <w:rPr>
                <w:rFonts w:hint="eastAsia" w:ascii="黑体" w:hAnsi="黑体" w:eastAsia="黑体" w:cs="黑体"/>
                <w:b/>
                <w:bCs/>
                <w:color w:val="000000"/>
                <w:kern w:val="0"/>
                <w:sz w:val="23"/>
                <w:szCs w:val="23"/>
              </w:rPr>
              <w:t>情况</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1.学历学位</w:t>
            </w:r>
          </w:p>
        </w:tc>
        <w:tc>
          <w:tcPr>
            <w:tcW w:w="55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 xml:space="preserve">博士（双证10分、单证5分），硕士（双证6分、单证3分），学士（双证2分、单证1分） </w:t>
            </w:r>
          </w:p>
        </w:tc>
      </w:tr>
      <w:tr>
        <w:tblPrEx>
          <w:tblCellMar>
            <w:top w:w="0" w:type="dxa"/>
            <w:left w:w="108" w:type="dxa"/>
            <w:bottom w:w="0" w:type="dxa"/>
            <w:right w:w="108" w:type="dxa"/>
          </w:tblCellMar>
        </w:tblPrEx>
        <w:trPr>
          <w:trHeight w:val="250"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left"/>
              <w:rPr>
                <w:rFonts w:hint="eastAsia" w:ascii="黑体" w:hAnsi="黑体" w:eastAsia="黑体" w:cs="黑体"/>
                <w:b/>
                <w:bCs/>
                <w:color w:val="000000"/>
                <w:kern w:val="0"/>
                <w:sz w:val="23"/>
                <w:szCs w:val="23"/>
              </w:rPr>
            </w:pPr>
          </w:p>
        </w:tc>
        <w:tc>
          <w:tcPr>
            <w:tcW w:w="2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2.任职年限</w:t>
            </w:r>
          </w:p>
        </w:tc>
        <w:tc>
          <w:tcPr>
            <w:tcW w:w="55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任现职以来，合格以上每年0.5分</w:t>
            </w:r>
          </w:p>
        </w:tc>
      </w:tr>
      <w:tr>
        <w:tblPrEx>
          <w:tblCellMar>
            <w:top w:w="0" w:type="dxa"/>
            <w:left w:w="108" w:type="dxa"/>
            <w:bottom w:w="0" w:type="dxa"/>
            <w:right w:w="108" w:type="dxa"/>
          </w:tblCellMar>
        </w:tblPrEx>
        <w:trPr>
          <w:trHeight w:val="407"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left"/>
              <w:rPr>
                <w:rFonts w:hint="eastAsia" w:ascii="黑体" w:hAnsi="黑体" w:eastAsia="黑体" w:cs="黑体"/>
                <w:b/>
                <w:bCs/>
                <w:color w:val="000000"/>
                <w:kern w:val="0"/>
                <w:sz w:val="23"/>
                <w:szCs w:val="23"/>
              </w:rPr>
            </w:pPr>
          </w:p>
        </w:tc>
        <w:tc>
          <w:tcPr>
            <w:tcW w:w="2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3.年度考核</w:t>
            </w:r>
          </w:p>
        </w:tc>
        <w:tc>
          <w:tcPr>
            <w:tcW w:w="55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年度考核优秀1分/次</w:t>
            </w:r>
          </w:p>
        </w:tc>
      </w:tr>
      <w:tr>
        <w:tblPrEx>
          <w:tblCellMar>
            <w:top w:w="0" w:type="dxa"/>
            <w:left w:w="108" w:type="dxa"/>
            <w:bottom w:w="0" w:type="dxa"/>
            <w:right w:w="108" w:type="dxa"/>
          </w:tblCellMar>
        </w:tblPrEx>
        <w:trPr>
          <w:trHeight w:val="407"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left"/>
              <w:rPr>
                <w:rFonts w:hint="eastAsia" w:ascii="黑体" w:hAnsi="黑体" w:eastAsia="黑体" w:cs="黑体"/>
                <w:b/>
                <w:bCs/>
                <w:color w:val="000000"/>
                <w:kern w:val="0"/>
                <w:sz w:val="23"/>
                <w:szCs w:val="23"/>
              </w:rPr>
            </w:pPr>
          </w:p>
        </w:tc>
        <w:tc>
          <w:tcPr>
            <w:tcW w:w="2654" w:type="dxa"/>
            <w:tcBorders>
              <w:top w:val="single" w:color="auto" w:sz="4" w:space="0"/>
              <w:left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4.荣誉称号</w:t>
            </w:r>
          </w:p>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（本项限10分）</w:t>
            </w:r>
          </w:p>
        </w:tc>
        <w:tc>
          <w:tcPr>
            <w:tcW w:w="55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国家级（10分），省级（5分），市级（3分），院级（1分）</w:t>
            </w:r>
          </w:p>
        </w:tc>
      </w:tr>
      <w:tr>
        <w:tblPrEx>
          <w:tblCellMar>
            <w:top w:w="0" w:type="dxa"/>
            <w:left w:w="108" w:type="dxa"/>
            <w:bottom w:w="0" w:type="dxa"/>
            <w:right w:w="108" w:type="dxa"/>
          </w:tblCellMar>
        </w:tblPrEx>
        <w:trPr>
          <w:trHeight w:val="564" w:hRule="atLeast"/>
          <w:jc w:val="center"/>
        </w:trPr>
        <w:tc>
          <w:tcPr>
            <w:tcW w:w="668"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bCs/>
                <w:color w:val="000000"/>
                <w:kern w:val="0"/>
                <w:sz w:val="23"/>
                <w:szCs w:val="23"/>
              </w:rPr>
            </w:pPr>
            <w:r>
              <w:rPr>
                <w:rFonts w:hint="eastAsia" w:ascii="黑体" w:hAnsi="黑体" w:eastAsia="黑体" w:cs="黑体"/>
                <w:b/>
                <w:bCs/>
                <w:color w:val="000000"/>
                <w:kern w:val="0"/>
                <w:sz w:val="23"/>
                <w:szCs w:val="23"/>
              </w:rPr>
              <w:t>教学</w:t>
            </w:r>
          </w:p>
          <w:p>
            <w:pPr>
              <w:widowControl/>
              <w:adjustRightInd w:val="0"/>
              <w:snapToGrid w:val="0"/>
              <w:jc w:val="center"/>
              <w:rPr>
                <w:rFonts w:hint="eastAsia" w:ascii="黑体" w:hAnsi="黑体" w:eastAsia="黑体" w:cs="黑体"/>
                <w:b/>
                <w:bCs/>
                <w:color w:val="000000"/>
                <w:kern w:val="0"/>
                <w:sz w:val="23"/>
                <w:szCs w:val="23"/>
              </w:rPr>
            </w:pPr>
            <w:r>
              <w:rPr>
                <w:rFonts w:hint="eastAsia" w:ascii="黑体" w:hAnsi="黑体" w:eastAsia="黑体" w:cs="黑体"/>
                <w:b/>
                <w:bCs/>
                <w:color w:val="000000"/>
                <w:kern w:val="0"/>
                <w:sz w:val="23"/>
                <w:szCs w:val="23"/>
              </w:rPr>
              <w:t>工作</w:t>
            </w:r>
          </w:p>
          <w:p>
            <w:pPr>
              <w:widowControl/>
              <w:adjustRightInd w:val="0"/>
              <w:snapToGrid w:val="0"/>
              <w:jc w:val="center"/>
              <w:rPr>
                <w:rFonts w:hint="eastAsia" w:ascii="黑体" w:hAnsi="黑体" w:eastAsia="黑体" w:cs="黑体"/>
                <w:b/>
                <w:bCs/>
                <w:color w:val="000000"/>
                <w:kern w:val="0"/>
                <w:sz w:val="23"/>
                <w:szCs w:val="23"/>
              </w:rPr>
            </w:pPr>
            <w:r>
              <w:rPr>
                <w:rFonts w:hint="eastAsia" w:ascii="黑体" w:hAnsi="黑体" w:eastAsia="黑体" w:cs="黑体"/>
                <w:b/>
                <w:bCs/>
                <w:color w:val="000000"/>
                <w:kern w:val="0"/>
                <w:sz w:val="23"/>
                <w:szCs w:val="23"/>
              </w:rPr>
              <w:t>业绩</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5.教学质量考核</w:t>
            </w:r>
          </w:p>
        </w:tc>
        <w:tc>
          <w:tcPr>
            <w:tcW w:w="55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满足基本条件后</w:t>
            </w:r>
          </w:p>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学年教学质量考核优秀2分</w:t>
            </w:r>
          </w:p>
        </w:tc>
      </w:tr>
      <w:tr>
        <w:tblPrEx>
          <w:tblCellMar>
            <w:top w:w="0" w:type="dxa"/>
            <w:left w:w="108" w:type="dxa"/>
            <w:bottom w:w="0" w:type="dxa"/>
            <w:right w:w="108" w:type="dxa"/>
          </w:tblCellMar>
        </w:tblPrEx>
        <w:trPr>
          <w:trHeight w:val="700" w:hRule="atLeast"/>
          <w:jc w:val="center"/>
        </w:trPr>
        <w:tc>
          <w:tcPr>
            <w:tcW w:w="668" w:type="dxa"/>
            <w:vMerge w:val="continue"/>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bCs/>
                <w:color w:val="000000"/>
                <w:kern w:val="0"/>
                <w:sz w:val="23"/>
                <w:szCs w:val="23"/>
              </w:rPr>
            </w:pPr>
          </w:p>
        </w:tc>
        <w:tc>
          <w:tcPr>
            <w:tcW w:w="2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6.</w:t>
            </w:r>
            <w:r>
              <w:rPr>
                <w:rFonts w:hint="eastAsia" w:ascii="黑体" w:hAnsi="黑体" w:eastAsia="黑体" w:cs="黑体"/>
                <w:color w:val="000000"/>
                <w:kern w:val="0"/>
                <w:sz w:val="20"/>
                <w:szCs w:val="20"/>
              </w:rPr>
              <w:t>教学成果奖</w:t>
            </w:r>
          </w:p>
        </w:tc>
        <w:tc>
          <w:tcPr>
            <w:tcW w:w="558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国家级：一等奖（100分），二等奖（80分），三等奖（60分）</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省级：特等奖（60分），一等奖（50分），二等奖（40分），三等奖（20分）</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市级：一等奖（10分），二等奖（8分），三等奖（5分）</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院级：一等奖（5分），二等奖（3分），三等奖（1分）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kern w:val="0"/>
                <w:sz w:val="20"/>
                <w:szCs w:val="20"/>
              </w:rPr>
              <w:t>额定成员按照“分值/排位序数”计算得分</w:t>
            </w:r>
          </w:p>
        </w:tc>
      </w:tr>
      <w:tr>
        <w:tblPrEx>
          <w:tblCellMar>
            <w:top w:w="0" w:type="dxa"/>
            <w:left w:w="108" w:type="dxa"/>
            <w:bottom w:w="0" w:type="dxa"/>
            <w:right w:w="108" w:type="dxa"/>
          </w:tblCellMar>
        </w:tblPrEx>
        <w:trPr>
          <w:trHeight w:val="700" w:hRule="atLeast"/>
          <w:jc w:val="center"/>
        </w:trPr>
        <w:tc>
          <w:tcPr>
            <w:tcW w:w="668" w:type="dxa"/>
            <w:vMerge w:val="continue"/>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bCs/>
                <w:color w:val="000000"/>
                <w:kern w:val="0"/>
                <w:sz w:val="23"/>
                <w:szCs w:val="23"/>
              </w:rPr>
            </w:pPr>
          </w:p>
        </w:tc>
        <w:tc>
          <w:tcPr>
            <w:tcW w:w="2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7.质量工程</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（含数字教学资源）</w:t>
            </w:r>
          </w:p>
        </w:tc>
        <w:tc>
          <w:tcPr>
            <w:tcW w:w="55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国家级（60分），省级（40分），市级（10分），院级（5分），成员按照“分值/排位序数”计算得分</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kern w:val="0"/>
                <w:sz w:val="20"/>
                <w:szCs w:val="20"/>
              </w:rPr>
              <w:t>非本学科或本专业精品在线课程（精品资源共享课程、精品课程）不予认定</w:t>
            </w:r>
          </w:p>
        </w:tc>
      </w:tr>
      <w:tr>
        <w:tblPrEx>
          <w:tblCellMar>
            <w:top w:w="0" w:type="dxa"/>
            <w:left w:w="108" w:type="dxa"/>
            <w:bottom w:w="0" w:type="dxa"/>
            <w:right w:w="108" w:type="dxa"/>
          </w:tblCellMar>
        </w:tblPrEx>
        <w:trPr>
          <w:trHeight w:val="1077"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left"/>
              <w:rPr>
                <w:rFonts w:hint="eastAsia" w:ascii="黑体" w:hAnsi="黑体" w:eastAsia="黑体" w:cs="黑体"/>
                <w:b/>
                <w:bCs/>
                <w:color w:val="000000"/>
                <w:kern w:val="0"/>
                <w:sz w:val="23"/>
                <w:szCs w:val="23"/>
              </w:rPr>
            </w:pPr>
          </w:p>
        </w:tc>
        <w:tc>
          <w:tcPr>
            <w:tcW w:w="2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8.教材</w:t>
            </w:r>
          </w:p>
        </w:tc>
        <w:tc>
          <w:tcPr>
            <w:tcW w:w="558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满足基本条件后</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教育部统编教材/教育部规划教材按国家级教学成果奖三等奖对待；其他在学院备案的正式出版教材（5</w:t>
            </w:r>
            <w:r>
              <w:rPr>
                <w:rFonts w:hint="eastAsia" w:ascii="黑体" w:hAnsi="黑体" w:eastAsia="黑体" w:cs="黑体"/>
                <w:color w:val="000000"/>
                <w:kern w:val="0"/>
                <w:sz w:val="20"/>
                <w:szCs w:val="20"/>
              </w:rPr>
              <w:t>分，</w:t>
            </w:r>
            <w:r>
              <w:rPr>
                <w:rFonts w:hint="eastAsia" w:ascii="黑体" w:hAnsi="黑体" w:eastAsia="黑体" w:cs="黑体"/>
                <w:color w:val="000000"/>
                <w:sz w:val="20"/>
                <w:szCs w:val="20"/>
              </w:rPr>
              <w:t>限10分）</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sz w:val="20"/>
                <w:szCs w:val="20"/>
              </w:rPr>
              <w:t>成员按照“</w:t>
            </w:r>
            <w:r>
              <w:rPr>
                <w:rFonts w:hint="eastAsia" w:ascii="黑体" w:hAnsi="黑体" w:eastAsia="黑体" w:cs="黑体"/>
                <w:color w:val="000000"/>
                <w:kern w:val="0"/>
                <w:sz w:val="20"/>
                <w:szCs w:val="20"/>
              </w:rPr>
              <w:t>分值</w:t>
            </w:r>
            <w:r>
              <w:rPr>
                <w:rFonts w:hint="eastAsia" w:ascii="黑体" w:hAnsi="黑体" w:eastAsia="黑体" w:cs="黑体"/>
                <w:color w:val="000000"/>
                <w:sz w:val="20"/>
                <w:szCs w:val="20"/>
              </w:rPr>
              <w:t>/排位序数”计算得分</w:t>
            </w:r>
          </w:p>
        </w:tc>
      </w:tr>
      <w:tr>
        <w:tblPrEx>
          <w:tblCellMar>
            <w:top w:w="0" w:type="dxa"/>
            <w:left w:w="108" w:type="dxa"/>
            <w:bottom w:w="0" w:type="dxa"/>
            <w:right w:w="108" w:type="dxa"/>
          </w:tblCellMar>
        </w:tblPrEx>
        <w:trPr>
          <w:trHeight w:val="730"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left"/>
              <w:rPr>
                <w:rFonts w:hint="eastAsia" w:ascii="黑体" w:hAnsi="黑体" w:eastAsia="黑体" w:cs="黑体"/>
                <w:b/>
                <w:bCs/>
                <w:color w:val="000000"/>
                <w:kern w:val="0"/>
                <w:sz w:val="23"/>
                <w:szCs w:val="23"/>
              </w:rPr>
            </w:pPr>
          </w:p>
        </w:tc>
        <w:tc>
          <w:tcPr>
            <w:tcW w:w="2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9.教学类竞赛</w:t>
            </w:r>
          </w:p>
        </w:tc>
        <w:tc>
          <w:tcPr>
            <w:tcW w:w="55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国家级：一等奖（60分），二等奖（40分），三等奖（25分）</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省级：一等奖（20分），二等奖（15分），三等奖（10分）</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市级：一等奖（10分），二等奖（8分），三等奖（5分）</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院级（综合类，本项限5分）：一等奖（5分），二等奖（3分），三等奖（1分）</w:t>
            </w:r>
          </w:p>
        </w:tc>
      </w:tr>
      <w:tr>
        <w:tblPrEx>
          <w:tblCellMar>
            <w:top w:w="0" w:type="dxa"/>
            <w:left w:w="108" w:type="dxa"/>
            <w:bottom w:w="0" w:type="dxa"/>
            <w:right w:w="108" w:type="dxa"/>
          </w:tblCellMar>
        </w:tblPrEx>
        <w:trPr>
          <w:trHeight w:val="1699"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left"/>
              <w:rPr>
                <w:rFonts w:hint="eastAsia" w:ascii="黑体" w:hAnsi="黑体" w:eastAsia="黑体" w:cs="黑体"/>
                <w:b/>
                <w:bCs/>
                <w:color w:val="000000"/>
                <w:kern w:val="0"/>
                <w:sz w:val="23"/>
                <w:szCs w:val="23"/>
              </w:rPr>
            </w:pPr>
          </w:p>
        </w:tc>
        <w:tc>
          <w:tcPr>
            <w:tcW w:w="2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10.创新创业大赛、技能大赛</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（本项限30分）</w:t>
            </w:r>
          </w:p>
        </w:tc>
        <w:tc>
          <w:tcPr>
            <w:tcW w:w="55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本人参加：</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国家级：一等奖（30分），二等奖（20分），三等奖（15分）；</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省级：一等奖（15分），二等奖（10分），三等奖（5分）</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市级：一等奖（5分），二等奖（3分），三等奖（1分）</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直接指导学生参加：</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国家级：一等奖（20分），二等奖（15分），三等奖（10分）；</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省级：一等奖（10分），二等奖（6分），三等奖（3分）</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市级：一等奖（3分），二等奖（2分），三等奖（1分）</w:t>
            </w:r>
          </w:p>
        </w:tc>
      </w:tr>
      <w:tr>
        <w:tblPrEx>
          <w:tblCellMar>
            <w:top w:w="0" w:type="dxa"/>
            <w:left w:w="108" w:type="dxa"/>
            <w:bottom w:w="0" w:type="dxa"/>
            <w:right w:w="108" w:type="dxa"/>
          </w:tblCellMar>
        </w:tblPrEx>
        <w:trPr>
          <w:trHeight w:val="928" w:hRule="atLeast"/>
          <w:jc w:val="center"/>
        </w:trPr>
        <w:tc>
          <w:tcPr>
            <w:tcW w:w="668"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bCs/>
                <w:color w:val="000000"/>
                <w:kern w:val="0"/>
                <w:sz w:val="23"/>
                <w:szCs w:val="23"/>
              </w:rPr>
            </w:pPr>
            <w:bookmarkStart w:id="0" w:name="_Hlk9593983"/>
            <w:r>
              <w:rPr>
                <w:rFonts w:hint="eastAsia" w:ascii="黑体" w:hAnsi="黑体" w:eastAsia="黑体" w:cs="黑体"/>
                <w:b/>
                <w:bCs/>
                <w:color w:val="000000"/>
                <w:kern w:val="0"/>
                <w:sz w:val="23"/>
                <w:szCs w:val="23"/>
              </w:rPr>
              <w:t>科研</w:t>
            </w:r>
          </w:p>
          <w:p>
            <w:pPr>
              <w:widowControl/>
              <w:adjustRightInd w:val="0"/>
              <w:snapToGrid w:val="0"/>
              <w:jc w:val="center"/>
              <w:rPr>
                <w:rFonts w:hint="eastAsia" w:ascii="黑体" w:hAnsi="黑体" w:eastAsia="黑体" w:cs="黑体"/>
                <w:b/>
                <w:bCs/>
                <w:color w:val="000000"/>
                <w:kern w:val="0"/>
                <w:sz w:val="23"/>
                <w:szCs w:val="23"/>
              </w:rPr>
            </w:pPr>
            <w:r>
              <w:rPr>
                <w:rFonts w:hint="eastAsia" w:ascii="黑体" w:hAnsi="黑体" w:eastAsia="黑体" w:cs="黑体"/>
                <w:b/>
                <w:bCs/>
                <w:color w:val="000000"/>
                <w:kern w:val="0"/>
                <w:sz w:val="23"/>
                <w:szCs w:val="23"/>
              </w:rPr>
              <w:t>工作</w:t>
            </w:r>
          </w:p>
          <w:p>
            <w:pPr>
              <w:widowControl/>
              <w:adjustRightInd w:val="0"/>
              <w:snapToGrid w:val="0"/>
              <w:jc w:val="center"/>
              <w:rPr>
                <w:rFonts w:hint="eastAsia" w:ascii="黑体" w:hAnsi="黑体" w:eastAsia="黑体" w:cs="黑体"/>
                <w:color w:val="000000"/>
                <w:kern w:val="0"/>
                <w:sz w:val="23"/>
                <w:szCs w:val="23"/>
              </w:rPr>
            </w:pPr>
            <w:r>
              <w:rPr>
                <w:rFonts w:hint="eastAsia" w:ascii="黑体" w:hAnsi="黑体" w:eastAsia="黑体" w:cs="黑体"/>
                <w:b/>
                <w:bCs/>
                <w:color w:val="000000"/>
                <w:kern w:val="0"/>
                <w:sz w:val="23"/>
                <w:szCs w:val="23"/>
              </w:rPr>
              <w:t>业绩</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11.公开发表论文</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（本项限8篇、限10分）</w:t>
            </w:r>
          </w:p>
        </w:tc>
        <w:tc>
          <w:tcPr>
            <w:tcW w:w="55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满足基本条件后</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三大检索论文（8分/篇），核心期刊论文（6分/篇），普通期刊论文（1分/篇），</w:t>
            </w:r>
            <w:r>
              <w:rPr>
                <w:rFonts w:hint="eastAsia" w:ascii="黑体" w:hAnsi="黑体" w:eastAsia="黑体" w:cs="黑体"/>
                <w:color w:val="000000"/>
                <w:kern w:val="0"/>
                <w:sz w:val="20"/>
                <w:szCs w:val="20"/>
              </w:rPr>
              <w:t>按照“分值/排位序数”计算得分</w:t>
            </w:r>
          </w:p>
        </w:tc>
      </w:tr>
      <w:bookmarkEnd w:id="0"/>
      <w:tr>
        <w:tblPrEx>
          <w:tblCellMar>
            <w:top w:w="0" w:type="dxa"/>
            <w:left w:w="108" w:type="dxa"/>
            <w:bottom w:w="0" w:type="dxa"/>
            <w:right w:w="108" w:type="dxa"/>
          </w:tblCellMar>
        </w:tblPrEx>
        <w:trPr>
          <w:trHeight w:val="978" w:hRule="atLeast"/>
          <w:jc w:val="center"/>
        </w:trPr>
        <w:tc>
          <w:tcPr>
            <w:tcW w:w="668" w:type="dxa"/>
            <w:vMerge w:val="continue"/>
            <w:tcBorders>
              <w:left w:val="single" w:color="auto" w:sz="4" w:space="0"/>
              <w:right w:val="single" w:color="auto" w:sz="4" w:space="0"/>
            </w:tcBorders>
            <w:vAlign w:val="center"/>
          </w:tcPr>
          <w:p>
            <w:pPr>
              <w:adjustRightInd w:val="0"/>
              <w:snapToGrid w:val="0"/>
              <w:jc w:val="center"/>
              <w:rPr>
                <w:rFonts w:hint="eastAsia" w:ascii="黑体" w:hAnsi="黑体" w:eastAsia="黑体" w:cs="黑体"/>
                <w:color w:val="000000"/>
                <w:kern w:val="0"/>
                <w:sz w:val="23"/>
                <w:szCs w:val="23"/>
              </w:rPr>
            </w:pPr>
          </w:p>
        </w:tc>
        <w:tc>
          <w:tcPr>
            <w:tcW w:w="26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12.学术专著或译著</w:t>
            </w:r>
          </w:p>
        </w:tc>
        <w:tc>
          <w:tcPr>
            <w:tcW w:w="5588" w:type="dxa"/>
            <w:tcBorders>
              <w:top w:val="single" w:color="auto" w:sz="4" w:space="0"/>
              <w:left w:val="single" w:color="auto" w:sz="4" w:space="0"/>
              <w:bottom w:val="single" w:color="auto" w:sz="4" w:space="0"/>
              <w:right w:val="single" w:color="auto" w:sz="4" w:space="0"/>
            </w:tcBorders>
            <w:vAlign w:val="center"/>
          </w:tcPr>
          <w:p>
            <w:pPr>
              <w:tabs>
                <w:tab w:val="left" w:pos="1778"/>
              </w:tabs>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满足基本条件后</w:t>
            </w:r>
          </w:p>
          <w:p>
            <w:pPr>
              <w:tabs>
                <w:tab w:val="left" w:pos="1778"/>
              </w:tabs>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学术专著或译著（10分）</w:t>
            </w:r>
          </w:p>
          <w:p>
            <w:pPr>
              <w:tabs>
                <w:tab w:val="left" w:pos="1778"/>
              </w:tabs>
              <w:adjustRightInd w:val="0"/>
              <w:snapToGrid w:val="0"/>
              <w:rPr>
                <w:rFonts w:hint="eastAsia" w:ascii="黑体" w:hAnsi="黑体" w:eastAsia="黑体" w:cs="黑体"/>
                <w:color w:val="000000"/>
                <w:sz w:val="20"/>
                <w:szCs w:val="20"/>
              </w:rPr>
            </w:pPr>
            <w:r>
              <w:rPr>
                <w:rFonts w:hint="eastAsia" w:ascii="黑体" w:hAnsi="黑体" w:eastAsia="黑体" w:cs="黑体"/>
                <w:color w:val="000000"/>
                <w:kern w:val="0"/>
                <w:sz w:val="20"/>
                <w:szCs w:val="20"/>
              </w:rPr>
              <w:t>按照“分值/排位序数”计算得分</w:t>
            </w:r>
          </w:p>
        </w:tc>
      </w:tr>
      <w:tr>
        <w:tblPrEx>
          <w:tblCellMar>
            <w:top w:w="0" w:type="dxa"/>
            <w:left w:w="108" w:type="dxa"/>
            <w:bottom w:w="0" w:type="dxa"/>
            <w:right w:w="108" w:type="dxa"/>
          </w:tblCellMar>
        </w:tblPrEx>
        <w:trPr>
          <w:trHeight w:val="978" w:hRule="atLeast"/>
          <w:jc w:val="center"/>
        </w:trPr>
        <w:tc>
          <w:tcPr>
            <w:tcW w:w="668"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color w:val="000000"/>
                <w:kern w:val="0"/>
                <w:sz w:val="23"/>
                <w:szCs w:val="23"/>
              </w:rPr>
            </w:pPr>
          </w:p>
        </w:tc>
        <w:tc>
          <w:tcPr>
            <w:tcW w:w="2654" w:type="dxa"/>
            <w:tcBorders>
              <w:top w:val="single" w:color="auto" w:sz="4" w:space="0"/>
              <w:left w:val="single" w:color="auto" w:sz="4" w:space="0"/>
              <w:bottom w:val="single" w:color="auto" w:sz="4" w:space="0"/>
              <w:right w:val="single" w:color="auto" w:sz="4" w:space="0"/>
            </w:tcBorders>
            <w:vAlign w:val="center"/>
          </w:tcPr>
          <w:p>
            <w:pPr>
              <w:widowControl/>
              <w:tabs>
                <w:tab w:val="left" w:pos="1778"/>
              </w:tabs>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sz w:val="20"/>
                <w:szCs w:val="20"/>
              </w:rPr>
              <w:t>13.纵向科研项目</w:t>
            </w:r>
          </w:p>
        </w:tc>
        <w:tc>
          <w:tcPr>
            <w:tcW w:w="55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满足基本条件后</w:t>
            </w:r>
          </w:p>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国家级（100分），省部级（60分），市厅级（5分），院级（1分），按照“分值/排位序数”计算得分</w:t>
            </w:r>
          </w:p>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（无经费支持降一级别计分）</w:t>
            </w:r>
          </w:p>
        </w:tc>
      </w:tr>
      <w:tr>
        <w:tblPrEx>
          <w:tblCellMar>
            <w:top w:w="0" w:type="dxa"/>
            <w:left w:w="108" w:type="dxa"/>
            <w:bottom w:w="0" w:type="dxa"/>
            <w:right w:w="108" w:type="dxa"/>
          </w:tblCellMar>
        </w:tblPrEx>
        <w:trPr>
          <w:trHeight w:val="919" w:hRule="atLeast"/>
          <w:jc w:val="center"/>
        </w:trPr>
        <w:tc>
          <w:tcPr>
            <w:tcW w:w="668"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bCs/>
                <w:color w:val="000000"/>
                <w:kern w:val="0"/>
                <w:sz w:val="23"/>
                <w:szCs w:val="23"/>
              </w:rPr>
            </w:pPr>
            <w:r>
              <w:rPr>
                <w:rFonts w:hint="eastAsia" w:ascii="黑体" w:hAnsi="黑体" w:eastAsia="黑体" w:cs="黑体"/>
                <w:b/>
                <w:bCs/>
                <w:color w:val="000000"/>
                <w:kern w:val="0"/>
                <w:sz w:val="23"/>
                <w:szCs w:val="23"/>
              </w:rPr>
              <w:t>科研</w:t>
            </w:r>
          </w:p>
          <w:p>
            <w:pPr>
              <w:widowControl/>
              <w:adjustRightInd w:val="0"/>
              <w:snapToGrid w:val="0"/>
              <w:jc w:val="center"/>
              <w:rPr>
                <w:rFonts w:hint="eastAsia" w:ascii="黑体" w:hAnsi="黑体" w:eastAsia="黑体" w:cs="黑体"/>
                <w:b/>
                <w:bCs/>
                <w:color w:val="000000"/>
                <w:kern w:val="0"/>
                <w:sz w:val="23"/>
                <w:szCs w:val="23"/>
              </w:rPr>
            </w:pPr>
            <w:r>
              <w:rPr>
                <w:rFonts w:hint="eastAsia" w:ascii="黑体" w:hAnsi="黑体" w:eastAsia="黑体" w:cs="黑体"/>
                <w:b/>
                <w:bCs/>
                <w:color w:val="000000"/>
                <w:kern w:val="0"/>
                <w:sz w:val="23"/>
                <w:szCs w:val="23"/>
              </w:rPr>
              <w:t>工作</w:t>
            </w:r>
          </w:p>
          <w:p>
            <w:pPr>
              <w:widowControl/>
              <w:adjustRightInd w:val="0"/>
              <w:snapToGrid w:val="0"/>
              <w:jc w:val="center"/>
              <w:rPr>
                <w:rFonts w:hint="eastAsia" w:ascii="黑体" w:hAnsi="黑体" w:eastAsia="黑体" w:cs="黑体"/>
                <w:color w:val="000000"/>
                <w:kern w:val="0"/>
                <w:sz w:val="23"/>
                <w:szCs w:val="23"/>
              </w:rPr>
            </w:pPr>
            <w:r>
              <w:rPr>
                <w:rFonts w:hint="eastAsia" w:ascii="黑体" w:hAnsi="黑体" w:eastAsia="黑体" w:cs="黑体"/>
                <w:b/>
                <w:bCs/>
                <w:color w:val="000000"/>
                <w:kern w:val="0"/>
                <w:sz w:val="23"/>
                <w:szCs w:val="23"/>
              </w:rPr>
              <w:t>业绩</w:t>
            </w:r>
          </w:p>
        </w:tc>
        <w:tc>
          <w:tcPr>
            <w:tcW w:w="26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14.科研建设项目</w:t>
            </w:r>
          </w:p>
        </w:tc>
        <w:tc>
          <w:tcPr>
            <w:tcW w:w="558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kern w:val="0"/>
                <w:sz w:val="20"/>
                <w:szCs w:val="20"/>
              </w:rPr>
              <w:t>国家级（100分），省部级（60分），市厅级（5分），院级（1分），按照“分值/排位序数”计算得分</w:t>
            </w: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vAlign w:val="center"/>
          </w:tcPr>
          <w:p>
            <w:pPr>
              <w:widowControl/>
              <w:adjustRightInd w:val="0"/>
              <w:snapToGrid w:val="0"/>
              <w:jc w:val="center"/>
              <w:rPr>
                <w:rFonts w:hint="eastAsia" w:ascii="黑体" w:hAnsi="黑体" w:eastAsia="黑体" w:cs="黑体"/>
                <w:color w:val="000000"/>
                <w:kern w:val="0"/>
                <w:sz w:val="23"/>
                <w:szCs w:val="23"/>
              </w:rPr>
            </w:pPr>
          </w:p>
        </w:tc>
        <w:tc>
          <w:tcPr>
            <w:tcW w:w="26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15.横向科研项目</w:t>
            </w:r>
          </w:p>
        </w:tc>
        <w:tc>
          <w:tcPr>
            <w:tcW w:w="558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满足基本条件后</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理工科类：累计引进横向经费每5万元1分。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社会科学类：累计引进横向经费每1万元1分。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kern w:val="0"/>
                <w:sz w:val="20"/>
                <w:szCs w:val="20"/>
              </w:rPr>
              <w:t>成员按照“分值/排位序数”计算得分</w:t>
            </w:r>
          </w:p>
        </w:tc>
      </w:tr>
      <w:tr>
        <w:tblPrEx>
          <w:tblCellMar>
            <w:top w:w="0" w:type="dxa"/>
            <w:left w:w="108" w:type="dxa"/>
            <w:bottom w:w="0" w:type="dxa"/>
            <w:right w:w="108" w:type="dxa"/>
          </w:tblCellMar>
        </w:tblPrEx>
        <w:trPr>
          <w:trHeight w:val="1980"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bCs/>
                <w:color w:val="000000"/>
                <w:kern w:val="0"/>
                <w:sz w:val="23"/>
                <w:szCs w:val="23"/>
              </w:rPr>
            </w:pPr>
          </w:p>
        </w:tc>
        <w:tc>
          <w:tcPr>
            <w:tcW w:w="26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16.科研成果奖</w:t>
            </w:r>
          </w:p>
        </w:tc>
        <w:tc>
          <w:tcPr>
            <w:tcW w:w="558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满足基本条件后</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国家级：一等奖（100分），二等奖（80分），三等奖（60分）</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省级：特等奖（60分），一等奖（50分），二等奖（40分），三等奖（20分）</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市级：一等奖（10分），二等奖（8分），三等奖（5分）</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院级：一等奖（5分），二等奖（3分），三等奖（1分）</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额定成员按照“分值/排位序数”计算得分</w:t>
            </w:r>
          </w:p>
        </w:tc>
      </w:tr>
      <w:tr>
        <w:tblPrEx>
          <w:tblCellMar>
            <w:top w:w="0" w:type="dxa"/>
            <w:left w:w="108" w:type="dxa"/>
            <w:bottom w:w="0" w:type="dxa"/>
            <w:right w:w="108" w:type="dxa"/>
          </w:tblCellMar>
        </w:tblPrEx>
        <w:trPr>
          <w:trHeight w:val="1427"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bCs/>
                <w:color w:val="000000"/>
                <w:kern w:val="0"/>
                <w:sz w:val="23"/>
                <w:szCs w:val="23"/>
              </w:rPr>
            </w:pPr>
          </w:p>
        </w:tc>
        <w:tc>
          <w:tcPr>
            <w:tcW w:w="26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17.科技成果转化、共性关键技术研发、技术推广、专家咨询、智库建设等方面</w:t>
            </w:r>
          </w:p>
        </w:tc>
        <w:tc>
          <w:tcPr>
            <w:tcW w:w="558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满足基本条件后</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经济效益：每10万元1分；</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社会效益：得到市（厅）级以上政府部门的书面认可每项5分</w:t>
            </w:r>
            <w:r>
              <w:rPr>
                <w:rFonts w:hint="eastAsia" w:ascii="黑体" w:hAnsi="黑体" w:eastAsia="黑体" w:cs="黑体"/>
                <w:color w:val="000000"/>
                <w:kern w:val="0"/>
                <w:sz w:val="20"/>
                <w:szCs w:val="20"/>
                <w:lang w:eastAsia="zh-CN"/>
              </w:rPr>
              <w:t>，</w:t>
            </w:r>
            <w:r>
              <w:rPr>
                <w:rFonts w:hint="eastAsia" w:ascii="黑体" w:hAnsi="黑体" w:eastAsia="黑体" w:cs="黑体"/>
                <w:color w:val="000000"/>
                <w:kern w:val="0"/>
                <w:sz w:val="20"/>
                <w:szCs w:val="20"/>
              </w:rPr>
              <w:t>得到省（部）级以上政府部门的书面认可每项15分；</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成员按照“分值/排位序数”计算得分</w:t>
            </w:r>
          </w:p>
        </w:tc>
      </w:tr>
      <w:tr>
        <w:tblPrEx>
          <w:tblCellMar>
            <w:top w:w="0" w:type="dxa"/>
            <w:left w:w="108" w:type="dxa"/>
            <w:bottom w:w="0" w:type="dxa"/>
            <w:right w:w="108" w:type="dxa"/>
          </w:tblCellMar>
        </w:tblPrEx>
        <w:trPr>
          <w:jc w:val="center"/>
        </w:trPr>
        <w:tc>
          <w:tcPr>
            <w:tcW w:w="668"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hint="eastAsia" w:ascii="黑体" w:hAnsi="黑体" w:eastAsia="黑体" w:cs="黑体"/>
                <w:color w:val="000000"/>
                <w:kern w:val="0"/>
                <w:sz w:val="23"/>
                <w:szCs w:val="23"/>
              </w:rPr>
            </w:pPr>
          </w:p>
        </w:tc>
        <w:tc>
          <w:tcPr>
            <w:tcW w:w="26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18.专利</w:t>
            </w:r>
          </w:p>
        </w:tc>
        <w:tc>
          <w:tcPr>
            <w:tcW w:w="5588" w:type="dxa"/>
            <w:tcBorders>
              <w:top w:val="single" w:color="auto" w:sz="4" w:space="0"/>
              <w:left w:val="single" w:color="auto" w:sz="4" w:space="0"/>
              <w:bottom w:val="single" w:color="auto" w:sz="4" w:space="0"/>
              <w:right w:val="single" w:color="auto" w:sz="4" w:space="0"/>
            </w:tcBorders>
            <w:vAlign w:val="center"/>
          </w:tcPr>
          <w:p>
            <w:pPr>
              <w:tabs>
                <w:tab w:val="left" w:pos="1778"/>
              </w:tabs>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满足基本条件后</w:t>
            </w:r>
          </w:p>
          <w:p>
            <w:pPr>
              <w:tabs>
                <w:tab w:val="left" w:pos="1778"/>
              </w:tabs>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发明专利（8分）</w:t>
            </w:r>
          </w:p>
          <w:p>
            <w:pPr>
              <w:tabs>
                <w:tab w:val="left" w:pos="1778"/>
              </w:tabs>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成员按照“分值/排位序数”计算得分</w:t>
            </w:r>
          </w:p>
        </w:tc>
      </w:tr>
    </w:tbl>
    <w:p>
      <w:pPr>
        <w:spacing w:line="440" w:lineRule="exact"/>
        <w:jc w:val="center"/>
        <w:rPr>
          <w:rFonts w:hint="eastAsia" w:ascii="黑体" w:hAnsi="黑体" w:eastAsia="黑体" w:cs="黑体"/>
          <w:sz w:val="32"/>
          <w:szCs w:val="32"/>
        </w:rPr>
      </w:pPr>
    </w:p>
    <w:p>
      <w:pPr>
        <w:tabs>
          <w:tab w:val="left" w:pos="990"/>
          <w:tab w:val="left" w:pos="8280"/>
        </w:tabs>
        <w:adjustRightInd w:val="0"/>
        <w:snapToGrid w:val="0"/>
        <w:spacing w:line="440" w:lineRule="exact"/>
        <w:rPr>
          <w:rFonts w:hint="eastAsia" w:ascii="楷体_GB2312" w:hAnsi="楷体_GB2312" w:eastAsia="楷体_GB2312" w:cs="楷体_GB2312"/>
          <w:b/>
          <w:bCs/>
          <w:spacing w:val="-10"/>
          <w:sz w:val="24"/>
          <w:szCs w:val="24"/>
        </w:rPr>
      </w:pPr>
      <w:r>
        <w:rPr>
          <w:rFonts w:hint="eastAsia" w:ascii="楷体_GB2312" w:hAnsi="楷体_GB2312" w:eastAsia="楷体_GB2312" w:cs="楷体_GB2312"/>
          <w:b/>
          <w:bCs/>
          <w:spacing w:val="-10"/>
          <w:sz w:val="24"/>
          <w:szCs w:val="24"/>
        </w:rPr>
        <w:t>说明：</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1.除“学历学位”外，其他评价项目界定周期均为任现职以来。</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2.学历学位：按国家承认的最高学历学位计分。</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3.任职年限：任职年限指任现职以来的从事教学工作的年限。</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4.荣誉称号包括：入选国家级、省级、市级重点人才工程项目，“万人计划”教学名师、全国优秀教师、全国模范教师、全国教育系统先进工作者、全国优秀教育工作者、全国教书育人楷模，河北省优秀教师、河北省模范教师、河北省优秀教育工作者、河北省教书育人楷模、河北省师德标兵、石家庄市优秀教师、石家庄市模范教师、石家庄市教学名师、石家庄市优秀教育工作者、石家庄市师德楷模，学院优秀教师、学院教学名师、学院优秀教育工作者、学院师德标兵等荣誉称号。</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5.质量工程项目包括：教育教学改革试点(包括现代学徒制试点、“三全育人”综合改革试点、教学工作诊断与改进工作试点、定向培养士官试点),高水平专业群，高水平实训基地,全国高校黄大年式教师团队，职业教育教师教学创新团队，重点建设专业，骨干/示范/特色专业，虚拟仿真实训中心，技术技能大师工作室，职业技能大赛基地等《中国特色高水平高职学校和专业建设计划项目遴选管理办法》《高等职业教育创新发展行动计划》《职业教育提质培优行动计划》文件中的重点项目，均须以正式文件为依据并在教务处备案。</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6.数字教学资源包括：专业教学资源库，精品在线课程（精品资源共享课程、精品课程），数字教材，虚拟仿真实训课程，均须以正式文件为依据并在教务处备案。</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7.教学类竞赛包括：教师教学能力比赛（教师教学技能大赛、信息化教学大赛）、青年教师教学基本功大赛等以教师讲授和课堂演示为主的综合性教学比赛。同期获得同一项目不同等级荣誉称号，以得分最高者进行计算。多名教师合作完成比赛获奖项目，以合作教师人数为基准按项目平均分认定加分。</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8.创新创业大赛、技能大赛包括：世界技能大赛、全国职业院校技能大赛、中国“互联网+”大学生创新创业大赛、“挑战杯”全国大学生课外学术科技作品竞赛和中国大学生创业计划竞赛。指导学生完成比赛获奖项目，以学生获奖的等次对指导教师认定加分。多名教师指导学生完成比赛获奖项目，以合作教师人数为基准按项目平均分认定加分。申请认定的教师需提供比赛组织机构出具的指导教师奖励证书或证明，否则不予计分。</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9.质量工程项目、数字教学资源、各级各类竞赛、荣誉称号等均指经学院推荐上报、由各级政府及职能部门颁发的获奖证书或荣誉称号。级别的确定以发证机关印章为准,须以正式文件为依据并在学校备案。</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lang w:val="en-US" w:eastAsia="zh-CN"/>
        </w:rPr>
      </w:pPr>
      <w:r>
        <w:rPr>
          <w:rFonts w:hint="eastAsia" w:ascii="楷体_GB2312" w:hAnsi="楷体_GB2312" w:eastAsia="楷体_GB2312" w:cs="楷体_GB2312"/>
          <w:spacing w:val="-10"/>
          <w:sz w:val="24"/>
          <w:szCs w:val="24"/>
        </w:rPr>
        <w:t>10.论文集、增刊、专刊、会议论文等无效；三大检索论文，需要提供论文和河北省科学技术情报研究院出具的收录检索报告。</w:t>
      </w:r>
      <w:r>
        <w:rPr>
          <w:rFonts w:hint="eastAsia" w:ascii="楷体_GB2312" w:hAnsi="楷体_GB2312" w:eastAsia="楷体_GB2312" w:cs="楷体_GB2312"/>
          <w:spacing w:val="-10"/>
          <w:sz w:val="24"/>
          <w:szCs w:val="24"/>
          <w:lang w:val="en-US" w:eastAsia="zh-CN"/>
        </w:rPr>
        <w:t>核心学术期刊认定范围以国家《关于深化新时代学校思想政治理论课改革创新的若干意见》和《河北省高、中级职称申报评审条件（试行）》有关规定为依据。</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11.教育部规划教材是指由教育部统一颁布编写的或教育部组织评审通过的高等教育国家级规划教材。同一教材多次修订改版的，书号不同视为两本教材。</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12.公开出版的本专业学术专著或译著、公开发表的本专业学术论文等科研业绩成果，均应按照规定在学校进行备案登记，否则不予认定。</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13.纵向课题是指国家、省、市各级政府指定的科研行政单位代表政府发布立项的研究课题，非政府部门指定或授权的各行业协会、学会、研究会课题不予认定，各种以鉴定方式通过的计划外自选课题（不含省社科规划办确认课题）不予认定，未结项的计得分1/2；横向科研项目以到校经费为准。</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14.科研建设项目包括：各级科研平台、应用技术协同创新中心、重点实验室、工程中心、软科学基地等项目。必须为第一完成单位或依托单位。</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15</w:t>
      </w:r>
      <w:bookmarkStart w:id="1" w:name="_Hlk80974483"/>
      <w:r>
        <w:rPr>
          <w:rFonts w:hint="eastAsia" w:ascii="楷体_GB2312" w:hAnsi="楷体_GB2312" w:eastAsia="楷体_GB2312" w:cs="楷体_GB2312"/>
          <w:spacing w:val="-10"/>
          <w:sz w:val="24"/>
          <w:szCs w:val="24"/>
        </w:rPr>
        <w:t>.科研成果奖是指科学技术奖（按届或定期组织评选的科学技术奖）和社会科学优秀成果奖（省、市政府、哲学规划办、社科联等部门颁发的社会科学研究方面有突出成果的奖励）。奖励项目按河北省职改办《关于印发&lt;河北省高级职称申报评审条件各专业对应奖励目录&gt;》（冀职改办字〔2015〕104号）规定执行。</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16.科技成果取得的经济效益指该成果转化或推广应用并取得直接经济效益50万元以上；社会效益指该成果得到广泛应用，推动了本行业和社会进步，并得到市（厅）级以上政府部门的书面认可。开发科研成果的负责人须提供学校主管科研部门、使用该成果的企业（政府部门）之间的技术合同和经济、社会效益证明，效益证明需有关企业（政府部门）签章及企业负责人和财务部门负责人签字；还需提供与该成果研究方向一致的论文（第一作者或通讯作者）。</w:t>
      </w:r>
    </w:p>
    <w:bookmarkEnd w:id="1"/>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17.同一项目获不同级别奖励按最高级别分值计分，不重复计分；多个项目获不同级别的奖励可累计加分。</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18.“满足基本条件后”是指当申报人将某项条件做为职称评、聘的必备条件时，所取得的业绩不加分。</w:t>
      </w:r>
    </w:p>
    <w:p>
      <w:pPr>
        <w:tabs>
          <w:tab w:val="left" w:pos="990"/>
          <w:tab w:val="left" w:pos="8280"/>
        </w:tabs>
        <w:adjustRightInd w:val="0"/>
        <w:snapToGrid w:val="0"/>
        <w:spacing w:line="240" w:lineRule="atLeast"/>
        <w:ind w:firstLine="420" w:firstLineChars="200"/>
        <w:rPr>
          <w:rFonts w:ascii="仿宋_GB2312" w:hAnsi="仿宋" w:eastAsia="仿宋_GB2312" w:cs="Times New Roman"/>
          <w:spacing w:val="-10"/>
          <w:sz w:val="23"/>
          <w:szCs w:val="23"/>
        </w:rPr>
      </w:pPr>
    </w:p>
    <w:p>
      <w:pPr>
        <w:tabs>
          <w:tab w:val="left" w:pos="990"/>
          <w:tab w:val="left" w:pos="8280"/>
        </w:tabs>
        <w:adjustRightInd w:val="0"/>
        <w:snapToGrid w:val="0"/>
        <w:spacing w:line="240" w:lineRule="atLeast"/>
        <w:ind w:firstLine="420" w:firstLineChars="200"/>
        <w:rPr>
          <w:rFonts w:ascii="仿宋_GB2312" w:hAnsi="仿宋" w:eastAsia="仿宋_GB2312" w:cs="Times New Roman"/>
          <w:spacing w:val="-10"/>
          <w:sz w:val="23"/>
          <w:szCs w:val="23"/>
        </w:rPr>
      </w:pPr>
    </w:p>
    <w:p>
      <w:pPr>
        <w:tabs>
          <w:tab w:val="left" w:pos="990"/>
          <w:tab w:val="left" w:pos="8280"/>
        </w:tabs>
        <w:adjustRightInd w:val="0"/>
        <w:snapToGrid w:val="0"/>
        <w:spacing w:line="240" w:lineRule="atLeast"/>
        <w:ind w:firstLine="420" w:firstLineChars="200"/>
        <w:rPr>
          <w:rFonts w:ascii="仿宋_GB2312" w:hAnsi="仿宋" w:eastAsia="仿宋_GB2312" w:cs="Times New Roman"/>
          <w:spacing w:val="-10"/>
          <w:sz w:val="23"/>
          <w:szCs w:val="23"/>
        </w:rPr>
      </w:pPr>
    </w:p>
    <w:p>
      <w:pPr>
        <w:rPr>
          <w:rFonts w:ascii="等线" w:hAnsi="等线" w:eastAsia="等线" w:cs="Times New Roman"/>
          <w:szCs w:val="22"/>
        </w:rPr>
      </w:pPr>
    </w:p>
    <w:p>
      <w:pPr>
        <w:spacing w:line="440" w:lineRule="exact"/>
        <w:jc w:val="center"/>
        <w:rPr>
          <w:rFonts w:ascii="方正小标宋简体" w:hAnsi="方正小标宋简体" w:eastAsia="方正小标宋简体" w:cs="方正小标宋简体"/>
          <w:sz w:val="32"/>
          <w:szCs w:val="32"/>
        </w:rPr>
      </w:pPr>
      <w:bookmarkStart w:id="2" w:name="_Hlk40101709"/>
      <w:r>
        <w:rPr>
          <w:rFonts w:hint="eastAsia" w:ascii="方正小标宋简体" w:hAnsi="方正小标宋简体" w:eastAsia="方正小标宋简体" w:cs="方正小标宋简体"/>
          <w:sz w:val="32"/>
          <w:szCs w:val="32"/>
        </w:rPr>
        <w:t>职称评、聘量化评价表（学生思想政治教育系列）</w:t>
      </w:r>
    </w:p>
    <w:tbl>
      <w:tblPr>
        <w:tblStyle w:val="2"/>
        <w:tblW w:w="9026" w:type="dxa"/>
        <w:jc w:val="center"/>
        <w:tblLayout w:type="fixed"/>
        <w:tblCellMar>
          <w:top w:w="0" w:type="dxa"/>
          <w:left w:w="108" w:type="dxa"/>
          <w:bottom w:w="0" w:type="dxa"/>
          <w:right w:w="108" w:type="dxa"/>
        </w:tblCellMar>
      </w:tblPr>
      <w:tblGrid>
        <w:gridCol w:w="668"/>
        <w:gridCol w:w="2308"/>
        <w:gridCol w:w="6050"/>
      </w:tblGrid>
      <w:tr>
        <w:tblPrEx>
          <w:tblCellMar>
            <w:top w:w="0" w:type="dxa"/>
            <w:left w:w="108" w:type="dxa"/>
            <w:bottom w:w="0" w:type="dxa"/>
            <w:right w:w="108" w:type="dxa"/>
          </w:tblCellMar>
        </w:tblPrEx>
        <w:trPr>
          <w:trHeight w:val="351" w:hRule="atLeast"/>
          <w:tblHeader/>
          <w:jc w:val="center"/>
        </w:trPr>
        <w:tc>
          <w:tcPr>
            <w:tcW w:w="297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黑体" w:hAnsi="黑体" w:eastAsia="黑体" w:cs="黑体"/>
                <w:b/>
                <w:bCs/>
                <w:kern w:val="0"/>
                <w:sz w:val="24"/>
                <w:szCs w:val="22"/>
              </w:rPr>
            </w:pPr>
            <w:r>
              <w:rPr>
                <w:rFonts w:hint="eastAsia" w:ascii="黑体" w:hAnsi="黑体" w:eastAsia="黑体" w:cs="黑体"/>
                <w:b/>
                <w:bCs/>
                <w:kern w:val="0"/>
                <w:sz w:val="24"/>
                <w:szCs w:val="22"/>
              </w:rPr>
              <w:t>评价项目</w:t>
            </w:r>
          </w:p>
        </w:tc>
        <w:tc>
          <w:tcPr>
            <w:tcW w:w="60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黑体" w:hAnsi="黑体" w:eastAsia="黑体" w:cs="黑体"/>
                <w:b/>
                <w:bCs/>
                <w:kern w:val="0"/>
                <w:sz w:val="24"/>
                <w:szCs w:val="22"/>
              </w:rPr>
            </w:pPr>
            <w:r>
              <w:rPr>
                <w:rFonts w:hint="eastAsia" w:ascii="黑体" w:hAnsi="黑体" w:eastAsia="黑体" w:cs="黑体"/>
                <w:b/>
                <w:bCs/>
                <w:kern w:val="0"/>
                <w:sz w:val="24"/>
                <w:szCs w:val="22"/>
              </w:rPr>
              <w:t>评价标准</w:t>
            </w:r>
          </w:p>
        </w:tc>
      </w:tr>
      <w:tr>
        <w:tblPrEx>
          <w:tblCellMar>
            <w:top w:w="0" w:type="dxa"/>
            <w:left w:w="108" w:type="dxa"/>
            <w:bottom w:w="0" w:type="dxa"/>
            <w:right w:w="108" w:type="dxa"/>
          </w:tblCellMar>
        </w:tblPrEx>
        <w:trPr>
          <w:trHeight w:val="538" w:hRule="atLeast"/>
          <w:jc w:val="center"/>
        </w:trPr>
        <w:tc>
          <w:tcPr>
            <w:tcW w:w="668"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bCs/>
                <w:kern w:val="0"/>
                <w:sz w:val="23"/>
                <w:szCs w:val="23"/>
              </w:rPr>
            </w:pPr>
            <w:r>
              <w:rPr>
                <w:rFonts w:hint="eastAsia" w:ascii="黑体" w:hAnsi="黑体" w:eastAsia="黑体" w:cs="黑体"/>
                <w:b/>
                <w:bCs/>
                <w:kern w:val="0"/>
                <w:sz w:val="23"/>
                <w:szCs w:val="23"/>
              </w:rPr>
              <w:t>基本</w:t>
            </w:r>
          </w:p>
          <w:p>
            <w:pPr>
              <w:widowControl/>
              <w:adjustRightInd w:val="0"/>
              <w:snapToGrid w:val="0"/>
              <w:jc w:val="center"/>
              <w:rPr>
                <w:rFonts w:hint="eastAsia" w:ascii="黑体" w:hAnsi="黑体" w:eastAsia="黑体" w:cs="黑体"/>
                <w:b/>
                <w:bCs/>
                <w:kern w:val="0"/>
                <w:sz w:val="23"/>
                <w:szCs w:val="23"/>
              </w:rPr>
            </w:pPr>
            <w:r>
              <w:rPr>
                <w:rFonts w:hint="eastAsia" w:ascii="黑体" w:hAnsi="黑体" w:eastAsia="黑体" w:cs="黑体"/>
                <w:b/>
                <w:bCs/>
                <w:kern w:val="0"/>
                <w:sz w:val="23"/>
                <w:szCs w:val="23"/>
              </w:rPr>
              <w:t>情况</w:t>
            </w:r>
          </w:p>
        </w:tc>
        <w:tc>
          <w:tcPr>
            <w:tcW w:w="23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1.学历学位</w:t>
            </w:r>
          </w:p>
        </w:tc>
        <w:tc>
          <w:tcPr>
            <w:tcW w:w="60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 xml:space="preserve">博士（双证10分、单证5分），硕士（双证6分、单证3分），学士（双证2分、单证1分） </w:t>
            </w:r>
          </w:p>
        </w:tc>
      </w:tr>
      <w:tr>
        <w:tblPrEx>
          <w:tblCellMar>
            <w:top w:w="0" w:type="dxa"/>
            <w:left w:w="108" w:type="dxa"/>
            <w:bottom w:w="0" w:type="dxa"/>
            <w:right w:w="108" w:type="dxa"/>
          </w:tblCellMar>
        </w:tblPrEx>
        <w:trPr>
          <w:trHeight w:val="358"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left"/>
              <w:rPr>
                <w:rFonts w:hint="eastAsia" w:ascii="黑体" w:hAnsi="黑体" w:eastAsia="黑体" w:cs="黑体"/>
                <w:b/>
                <w:bCs/>
                <w:kern w:val="0"/>
                <w:sz w:val="23"/>
                <w:szCs w:val="23"/>
              </w:rPr>
            </w:pPr>
          </w:p>
        </w:tc>
        <w:tc>
          <w:tcPr>
            <w:tcW w:w="23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2.任职年限</w:t>
            </w:r>
          </w:p>
        </w:tc>
        <w:tc>
          <w:tcPr>
            <w:tcW w:w="60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任现职以来，合格以上每年0.5分</w:t>
            </w:r>
          </w:p>
        </w:tc>
      </w:tr>
      <w:tr>
        <w:tblPrEx>
          <w:tblCellMar>
            <w:top w:w="0" w:type="dxa"/>
            <w:left w:w="108" w:type="dxa"/>
            <w:bottom w:w="0" w:type="dxa"/>
            <w:right w:w="108" w:type="dxa"/>
          </w:tblCellMar>
        </w:tblPrEx>
        <w:trPr>
          <w:trHeight w:val="342"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left"/>
              <w:rPr>
                <w:rFonts w:hint="eastAsia" w:ascii="黑体" w:hAnsi="黑体" w:eastAsia="黑体" w:cs="黑体"/>
                <w:b/>
                <w:bCs/>
                <w:kern w:val="0"/>
                <w:sz w:val="23"/>
                <w:szCs w:val="23"/>
              </w:rPr>
            </w:pPr>
          </w:p>
        </w:tc>
        <w:tc>
          <w:tcPr>
            <w:tcW w:w="23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3.年度考核</w:t>
            </w:r>
          </w:p>
        </w:tc>
        <w:tc>
          <w:tcPr>
            <w:tcW w:w="60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年度考核优秀1分/次</w:t>
            </w:r>
          </w:p>
        </w:tc>
      </w:tr>
      <w:tr>
        <w:tblPrEx>
          <w:tblCellMar>
            <w:top w:w="0" w:type="dxa"/>
            <w:left w:w="108" w:type="dxa"/>
            <w:bottom w:w="0" w:type="dxa"/>
            <w:right w:w="108" w:type="dxa"/>
          </w:tblCellMar>
        </w:tblPrEx>
        <w:trPr>
          <w:trHeight w:val="407"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left"/>
              <w:rPr>
                <w:rFonts w:hint="eastAsia" w:ascii="黑体" w:hAnsi="黑体" w:eastAsia="黑体" w:cs="黑体"/>
                <w:b/>
                <w:bCs/>
                <w:kern w:val="0"/>
                <w:sz w:val="23"/>
                <w:szCs w:val="23"/>
              </w:rPr>
            </w:pPr>
          </w:p>
        </w:tc>
        <w:tc>
          <w:tcPr>
            <w:tcW w:w="2308" w:type="dxa"/>
            <w:tcBorders>
              <w:top w:val="single" w:color="auto" w:sz="4" w:space="0"/>
              <w:left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4.荣誉称号</w:t>
            </w:r>
          </w:p>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（本项限10分）</w:t>
            </w:r>
          </w:p>
        </w:tc>
        <w:tc>
          <w:tcPr>
            <w:tcW w:w="60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国家级（10分），省级（5分），市级（3分），院级（1分）</w:t>
            </w:r>
          </w:p>
        </w:tc>
      </w:tr>
      <w:tr>
        <w:tblPrEx>
          <w:tblCellMar>
            <w:top w:w="0" w:type="dxa"/>
            <w:left w:w="108" w:type="dxa"/>
            <w:bottom w:w="0" w:type="dxa"/>
            <w:right w:w="108" w:type="dxa"/>
          </w:tblCellMar>
        </w:tblPrEx>
        <w:trPr>
          <w:trHeight w:val="564" w:hRule="atLeast"/>
          <w:jc w:val="center"/>
        </w:trPr>
        <w:tc>
          <w:tcPr>
            <w:tcW w:w="668"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bCs/>
                <w:kern w:val="0"/>
                <w:sz w:val="23"/>
                <w:szCs w:val="23"/>
              </w:rPr>
            </w:pPr>
            <w:r>
              <w:rPr>
                <w:rFonts w:hint="eastAsia" w:ascii="黑体" w:hAnsi="黑体" w:eastAsia="黑体" w:cs="黑体"/>
                <w:b/>
                <w:bCs/>
                <w:kern w:val="0"/>
                <w:sz w:val="23"/>
                <w:szCs w:val="23"/>
              </w:rPr>
              <w:t>思政</w:t>
            </w:r>
          </w:p>
          <w:p>
            <w:pPr>
              <w:widowControl/>
              <w:adjustRightInd w:val="0"/>
              <w:snapToGrid w:val="0"/>
              <w:jc w:val="center"/>
              <w:rPr>
                <w:rFonts w:hint="eastAsia" w:ascii="黑体" w:hAnsi="黑体" w:eastAsia="黑体" w:cs="黑体"/>
                <w:b/>
                <w:bCs/>
                <w:kern w:val="0"/>
                <w:sz w:val="23"/>
                <w:szCs w:val="23"/>
              </w:rPr>
            </w:pPr>
            <w:r>
              <w:rPr>
                <w:rFonts w:hint="eastAsia" w:ascii="黑体" w:hAnsi="黑体" w:eastAsia="黑体" w:cs="黑体"/>
                <w:b/>
                <w:bCs/>
                <w:kern w:val="0"/>
                <w:sz w:val="23"/>
                <w:szCs w:val="23"/>
              </w:rPr>
              <w:t>工作</w:t>
            </w:r>
          </w:p>
          <w:p>
            <w:pPr>
              <w:widowControl/>
              <w:adjustRightInd w:val="0"/>
              <w:snapToGrid w:val="0"/>
              <w:jc w:val="center"/>
              <w:rPr>
                <w:rFonts w:hint="eastAsia" w:ascii="黑体" w:hAnsi="黑体" w:eastAsia="黑体" w:cs="黑体"/>
                <w:b/>
                <w:bCs/>
                <w:kern w:val="0"/>
                <w:sz w:val="23"/>
                <w:szCs w:val="23"/>
              </w:rPr>
            </w:pPr>
            <w:r>
              <w:rPr>
                <w:rFonts w:hint="eastAsia" w:ascii="黑体" w:hAnsi="黑体" w:eastAsia="黑体" w:cs="黑体"/>
                <w:b/>
                <w:bCs/>
                <w:kern w:val="0"/>
                <w:sz w:val="23"/>
                <w:szCs w:val="23"/>
              </w:rPr>
              <w:t>业绩</w:t>
            </w:r>
          </w:p>
        </w:tc>
        <w:tc>
          <w:tcPr>
            <w:tcW w:w="23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5.岗位工作量</w:t>
            </w:r>
          </w:p>
        </w:tc>
        <w:tc>
          <w:tcPr>
            <w:tcW w:w="60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年均管理学生人数达到200人（或4个自然班）（1分/年）；超出或低于200人（或4个自然班）的，按照超出或低于的学生人数/200加减分；行政人员全面履行岗位职责完成各项工作任务（1分/年）</w:t>
            </w:r>
          </w:p>
        </w:tc>
      </w:tr>
      <w:tr>
        <w:tblPrEx>
          <w:tblCellMar>
            <w:top w:w="0" w:type="dxa"/>
            <w:left w:w="108" w:type="dxa"/>
            <w:bottom w:w="0" w:type="dxa"/>
            <w:right w:w="108" w:type="dxa"/>
          </w:tblCellMar>
        </w:tblPrEx>
        <w:trPr>
          <w:trHeight w:val="564"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bCs/>
                <w:kern w:val="0"/>
                <w:sz w:val="23"/>
                <w:szCs w:val="23"/>
              </w:rPr>
            </w:pPr>
          </w:p>
        </w:tc>
        <w:tc>
          <w:tcPr>
            <w:tcW w:w="23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6.教学工作量</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kern w:val="0"/>
                <w:sz w:val="20"/>
                <w:szCs w:val="20"/>
              </w:rPr>
              <w:t>（本项限10分）</w:t>
            </w:r>
          </w:p>
        </w:tc>
        <w:tc>
          <w:tcPr>
            <w:tcW w:w="60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年均教学工作量不少于专职教师规定工作量的三分之一（1分/年）；主题班会、党课、团课和组织社会实践等班集体活动时间按标准课时计算（0.1分/课时）</w:t>
            </w:r>
          </w:p>
        </w:tc>
      </w:tr>
      <w:tr>
        <w:tblPrEx>
          <w:tblCellMar>
            <w:top w:w="0" w:type="dxa"/>
            <w:left w:w="108" w:type="dxa"/>
            <w:bottom w:w="0" w:type="dxa"/>
            <w:right w:w="108" w:type="dxa"/>
          </w:tblCellMar>
        </w:tblPrEx>
        <w:trPr>
          <w:trHeight w:val="515"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bCs/>
                <w:kern w:val="0"/>
                <w:sz w:val="23"/>
                <w:szCs w:val="23"/>
              </w:rPr>
            </w:pPr>
          </w:p>
        </w:tc>
        <w:tc>
          <w:tcPr>
            <w:tcW w:w="23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7.教学质量考核</w:t>
            </w:r>
          </w:p>
        </w:tc>
        <w:tc>
          <w:tcPr>
            <w:tcW w:w="60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满足基本条件后</w:t>
            </w:r>
          </w:p>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学年教学质量考核优秀2分</w:t>
            </w:r>
          </w:p>
        </w:tc>
      </w:tr>
      <w:tr>
        <w:tblPrEx>
          <w:tblCellMar>
            <w:top w:w="0" w:type="dxa"/>
            <w:left w:w="108" w:type="dxa"/>
            <w:bottom w:w="0" w:type="dxa"/>
            <w:right w:w="108" w:type="dxa"/>
          </w:tblCellMar>
        </w:tblPrEx>
        <w:trPr>
          <w:trHeight w:val="700"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bCs/>
                <w:kern w:val="0"/>
                <w:sz w:val="23"/>
                <w:szCs w:val="23"/>
              </w:rPr>
            </w:pPr>
          </w:p>
        </w:tc>
        <w:tc>
          <w:tcPr>
            <w:tcW w:w="23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8.</w:t>
            </w:r>
            <w:r>
              <w:rPr>
                <w:rFonts w:hint="eastAsia" w:ascii="黑体" w:hAnsi="黑体" w:eastAsia="黑体" w:cs="黑体"/>
                <w:color w:val="000000"/>
                <w:kern w:val="0"/>
                <w:sz w:val="20"/>
                <w:szCs w:val="20"/>
              </w:rPr>
              <w:t>教学成果奖</w:t>
            </w:r>
          </w:p>
        </w:tc>
        <w:tc>
          <w:tcPr>
            <w:tcW w:w="60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国家级：一等奖（100分），二等奖（80分），三等奖（60分）省级：特等奖（60分），一等奖（50分），二等奖（40分），三等奖（20分）</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市级：一等奖（10分），二等奖（8分），三等奖（6分）</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院级：一等奖（5分），二等奖（3分），三等奖（1分）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kern w:val="0"/>
                <w:sz w:val="20"/>
                <w:szCs w:val="20"/>
              </w:rPr>
              <w:t>额定成员按照“分值/排位序数”计算得分</w:t>
            </w:r>
          </w:p>
        </w:tc>
      </w:tr>
      <w:tr>
        <w:tblPrEx>
          <w:tblCellMar>
            <w:top w:w="0" w:type="dxa"/>
            <w:left w:w="108" w:type="dxa"/>
            <w:bottom w:w="0" w:type="dxa"/>
            <w:right w:w="108" w:type="dxa"/>
          </w:tblCellMar>
        </w:tblPrEx>
        <w:trPr>
          <w:trHeight w:val="700"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bCs/>
                <w:kern w:val="0"/>
                <w:sz w:val="23"/>
                <w:szCs w:val="23"/>
              </w:rPr>
            </w:pPr>
          </w:p>
        </w:tc>
        <w:tc>
          <w:tcPr>
            <w:tcW w:w="23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9.质量工程</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（含数字教学资源）</w:t>
            </w:r>
          </w:p>
        </w:tc>
        <w:tc>
          <w:tcPr>
            <w:tcW w:w="60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国家级（60分），省级（40分），市级（10分），院级（5分）</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kern w:val="0"/>
                <w:sz w:val="20"/>
                <w:szCs w:val="20"/>
              </w:rPr>
              <w:t>成员按照“分值/排位序数”计算得分，非本学科或本专业精品在线课程（精品资源共享课程、精品课程）不予认定</w:t>
            </w:r>
          </w:p>
        </w:tc>
      </w:tr>
      <w:tr>
        <w:tblPrEx>
          <w:tblCellMar>
            <w:top w:w="0" w:type="dxa"/>
            <w:left w:w="108" w:type="dxa"/>
            <w:bottom w:w="0" w:type="dxa"/>
            <w:right w:w="108" w:type="dxa"/>
          </w:tblCellMar>
        </w:tblPrEx>
        <w:trPr>
          <w:trHeight w:val="905"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left"/>
              <w:rPr>
                <w:rFonts w:hint="eastAsia" w:ascii="黑体" w:hAnsi="黑体" w:eastAsia="黑体" w:cs="黑体"/>
                <w:b/>
                <w:bCs/>
                <w:kern w:val="0"/>
                <w:sz w:val="23"/>
                <w:szCs w:val="23"/>
              </w:rPr>
            </w:pPr>
          </w:p>
        </w:tc>
        <w:tc>
          <w:tcPr>
            <w:tcW w:w="23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10.教材</w:t>
            </w:r>
          </w:p>
        </w:tc>
        <w:tc>
          <w:tcPr>
            <w:tcW w:w="60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教育部统编教材按国家级教学成果奖三等奖对待（不设封顶分）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其他在学院备案的正式出版教材（5分，限10分），成员按照“分值/排位序数”计算得分</w:t>
            </w:r>
          </w:p>
        </w:tc>
      </w:tr>
      <w:tr>
        <w:tblPrEx>
          <w:tblCellMar>
            <w:top w:w="0" w:type="dxa"/>
            <w:left w:w="108" w:type="dxa"/>
            <w:bottom w:w="0" w:type="dxa"/>
            <w:right w:w="108" w:type="dxa"/>
          </w:tblCellMar>
        </w:tblPrEx>
        <w:trPr>
          <w:trHeight w:val="730"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left"/>
              <w:rPr>
                <w:rFonts w:hint="eastAsia" w:ascii="黑体" w:hAnsi="黑体" w:eastAsia="黑体" w:cs="黑体"/>
                <w:b/>
                <w:bCs/>
                <w:kern w:val="0"/>
                <w:sz w:val="23"/>
                <w:szCs w:val="23"/>
              </w:rPr>
            </w:pPr>
          </w:p>
        </w:tc>
        <w:tc>
          <w:tcPr>
            <w:tcW w:w="23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11.综合类竞赛</w:t>
            </w:r>
          </w:p>
        </w:tc>
        <w:tc>
          <w:tcPr>
            <w:tcW w:w="60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国家级：一等奖（60分），二等奖（40分），三等奖（25分）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省级：一等奖（20分），二等奖（15分），三等奖（10分）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院级（限5分）：一等奖（5分），二等奖（3分），三等奖（1分）</w:t>
            </w:r>
          </w:p>
        </w:tc>
      </w:tr>
      <w:tr>
        <w:tblPrEx>
          <w:tblCellMar>
            <w:top w:w="0" w:type="dxa"/>
            <w:left w:w="108" w:type="dxa"/>
            <w:bottom w:w="0" w:type="dxa"/>
            <w:right w:w="108" w:type="dxa"/>
          </w:tblCellMar>
        </w:tblPrEx>
        <w:trPr>
          <w:trHeight w:val="531"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left"/>
              <w:rPr>
                <w:rFonts w:hint="eastAsia" w:ascii="黑体" w:hAnsi="黑体" w:eastAsia="黑体" w:cs="黑体"/>
                <w:b/>
                <w:bCs/>
                <w:kern w:val="0"/>
                <w:sz w:val="23"/>
                <w:szCs w:val="23"/>
              </w:rPr>
            </w:pPr>
          </w:p>
        </w:tc>
        <w:tc>
          <w:tcPr>
            <w:tcW w:w="23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12.创新创业大赛、技能大赛</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（本项限30分）</w:t>
            </w:r>
          </w:p>
        </w:tc>
        <w:tc>
          <w:tcPr>
            <w:tcW w:w="60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直接指导学生参加：</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国家级：一等奖（20分），二等奖（15分），三等奖（10分）；</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省级：一等奖（10分），二等奖（6分），三等奖（3分）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市级：一等奖（3分），二等奖（2分），三等奖（1分）</w:t>
            </w:r>
          </w:p>
        </w:tc>
      </w:tr>
      <w:tr>
        <w:tblPrEx>
          <w:tblCellMar>
            <w:top w:w="0" w:type="dxa"/>
            <w:left w:w="108" w:type="dxa"/>
            <w:bottom w:w="0" w:type="dxa"/>
            <w:right w:w="108" w:type="dxa"/>
          </w:tblCellMar>
        </w:tblPrEx>
        <w:trPr>
          <w:trHeight w:val="531" w:hRule="atLeast"/>
          <w:jc w:val="center"/>
        </w:trPr>
        <w:tc>
          <w:tcPr>
            <w:tcW w:w="668"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hint="eastAsia" w:ascii="黑体" w:hAnsi="黑体" w:eastAsia="黑体" w:cs="黑体"/>
                <w:b/>
                <w:bCs/>
                <w:kern w:val="0"/>
                <w:sz w:val="23"/>
                <w:szCs w:val="23"/>
              </w:rPr>
            </w:pPr>
          </w:p>
        </w:tc>
        <w:tc>
          <w:tcPr>
            <w:tcW w:w="23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sz w:val="20"/>
                <w:szCs w:val="20"/>
              </w:rPr>
              <w:t>13.专项工作奖</w:t>
            </w:r>
          </w:p>
        </w:tc>
        <w:tc>
          <w:tcPr>
            <w:tcW w:w="60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培养的学生在校期间在自强自立、道德修养、创新创业等方面取得显著社会影响，得到省级以上政府表彰或奖励：国家级（20分），省级（10分）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思想政治教育工作研究成果（辅导员精品项目、思想政治教育工作创新案例）：国家级一等奖（60分），二等奖（40分），三等奖（25分）；省级一等奖（20分），二等奖（15分），三等奖（10分）；市级一等奖（10分），二等奖（8分），三等奖（6分）；院级（限5分）：一等奖（5分），二等奖（3分），三等奖（1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本人所带学生团体、或本人所在部门（学生思想政治教育与管理部门，本人为第一负责人）获思想政治工作类（综合性）荣誉称号（限10分）：国家级（10分），省级（5分），市级（3分），院级（1分）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其他专项（限8分）：国家级（8分），省级（4分），市级（2分），院级（1分）</w:t>
            </w:r>
          </w:p>
        </w:tc>
      </w:tr>
      <w:tr>
        <w:tblPrEx>
          <w:tblCellMar>
            <w:top w:w="0" w:type="dxa"/>
            <w:left w:w="108" w:type="dxa"/>
            <w:bottom w:w="0" w:type="dxa"/>
            <w:right w:w="108" w:type="dxa"/>
          </w:tblCellMar>
        </w:tblPrEx>
        <w:trPr>
          <w:trHeight w:val="778" w:hRule="atLeast"/>
          <w:jc w:val="center"/>
        </w:trPr>
        <w:tc>
          <w:tcPr>
            <w:tcW w:w="668"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bCs/>
                <w:kern w:val="0"/>
                <w:sz w:val="23"/>
                <w:szCs w:val="23"/>
              </w:rPr>
            </w:pPr>
            <w:r>
              <w:rPr>
                <w:rFonts w:hint="eastAsia" w:ascii="黑体" w:hAnsi="黑体" w:eastAsia="黑体" w:cs="黑体"/>
                <w:b/>
                <w:bCs/>
                <w:kern w:val="0"/>
                <w:sz w:val="23"/>
                <w:szCs w:val="23"/>
              </w:rPr>
              <w:t>科研</w:t>
            </w:r>
          </w:p>
          <w:p>
            <w:pPr>
              <w:widowControl/>
              <w:adjustRightInd w:val="0"/>
              <w:snapToGrid w:val="0"/>
              <w:jc w:val="center"/>
              <w:rPr>
                <w:rFonts w:hint="eastAsia" w:ascii="黑体" w:hAnsi="黑体" w:eastAsia="黑体" w:cs="黑体"/>
                <w:b/>
                <w:bCs/>
                <w:kern w:val="0"/>
                <w:sz w:val="23"/>
                <w:szCs w:val="23"/>
              </w:rPr>
            </w:pPr>
            <w:r>
              <w:rPr>
                <w:rFonts w:hint="eastAsia" w:ascii="黑体" w:hAnsi="黑体" w:eastAsia="黑体" w:cs="黑体"/>
                <w:b/>
                <w:bCs/>
                <w:kern w:val="0"/>
                <w:sz w:val="23"/>
                <w:szCs w:val="23"/>
              </w:rPr>
              <w:t>工作</w:t>
            </w:r>
          </w:p>
          <w:p>
            <w:pPr>
              <w:widowControl/>
              <w:adjustRightInd w:val="0"/>
              <w:snapToGrid w:val="0"/>
              <w:jc w:val="center"/>
              <w:rPr>
                <w:rFonts w:hint="eastAsia" w:ascii="黑体" w:hAnsi="黑体" w:eastAsia="黑体" w:cs="黑体"/>
                <w:kern w:val="0"/>
                <w:sz w:val="23"/>
                <w:szCs w:val="23"/>
              </w:rPr>
            </w:pPr>
            <w:r>
              <w:rPr>
                <w:rFonts w:hint="eastAsia" w:ascii="黑体" w:hAnsi="黑体" w:eastAsia="黑体" w:cs="黑体"/>
                <w:b/>
                <w:bCs/>
                <w:kern w:val="0"/>
                <w:sz w:val="23"/>
                <w:szCs w:val="23"/>
              </w:rPr>
              <w:t>业绩</w:t>
            </w:r>
          </w:p>
        </w:tc>
        <w:tc>
          <w:tcPr>
            <w:tcW w:w="23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14.公开发表论文</w:t>
            </w:r>
          </w:p>
          <w:p>
            <w:pPr>
              <w:widowControl/>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（本项限8篇、限10分）</w:t>
            </w:r>
          </w:p>
        </w:tc>
        <w:tc>
          <w:tcPr>
            <w:tcW w:w="60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满足基本条件后</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三大检索论文（8分/篇），核心期刊论文（含教育部“中国大学生在线”“高校辅导员在线”等国家级网络平台）（6分/篇），普通期刊论文（1分/篇），按照“分值/排位序数”计算得分</w:t>
            </w:r>
          </w:p>
        </w:tc>
      </w:tr>
      <w:tr>
        <w:tblPrEx>
          <w:tblCellMar>
            <w:top w:w="0" w:type="dxa"/>
            <w:left w:w="108" w:type="dxa"/>
            <w:bottom w:w="0" w:type="dxa"/>
            <w:right w:w="108" w:type="dxa"/>
          </w:tblCellMar>
        </w:tblPrEx>
        <w:trPr>
          <w:trHeight w:val="978" w:hRule="atLeast"/>
          <w:jc w:val="center"/>
        </w:trPr>
        <w:tc>
          <w:tcPr>
            <w:tcW w:w="668" w:type="dxa"/>
            <w:vMerge w:val="continue"/>
            <w:tcBorders>
              <w:left w:val="single" w:color="auto" w:sz="4" w:space="0"/>
              <w:right w:val="single" w:color="auto" w:sz="4" w:space="0"/>
            </w:tcBorders>
            <w:vAlign w:val="center"/>
          </w:tcPr>
          <w:p>
            <w:pPr>
              <w:adjustRightInd w:val="0"/>
              <w:snapToGrid w:val="0"/>
              <w:jc w:val="center"/>
              <w:rPr>
                <w:rFonts w:hint="eastAsia" w:ascii="黑体" w:hAnsi="黑体" w:eastAsia="黑体" w:cs="黑体"/>
                <w:kern w:val="0"/>
                <w:sz w:val="23"/>
                <w:szCs w:val="23"/>
              </w:rPr>
            </w:pP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sz w:val="20"/>
                <w:szCs w:val="20"/>
              </w:rPr>
              <w:t>15.学术专著</w:t>
            </w:r>
          </w:p>
        </w:tc>
        <w:tc>
          <w:tcPr>
            <w:tcW w:w="60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思想政治教育学术专著（10分）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按照“分值/排位序数”计算得分</w:t>
            </w:r>
          </w:p>
        </w:tc>
      </w:tr>
      <w:tr>
        <w:tblPrEx>
          <w:tblCellMar>
            <w:top w:w="0" w:type="dxa"/>
            <w:left w:w="108" w:type="dxa"/>
            <w:bottom w:w="0" w:type="dxa"/>
            <w:right w:w="108" w:type="dxa"/>
          </w:tblCellMar>
        </w:tblPrEx>
        <w:trPr>
          <w:trHeight w:val="978" w:hRule="atLeast"/>
          <w:jc w:val="center"/>
        </w:trPr>
        <w:tc>
          <w:tcPr>
            <w:tcW w:w="668" w:type="dxa"/>
            <w:vMerge w:val="continue"/>
            <w:tcBorders>
              <w:left w:val="single" w:color="auto" w:sz="4" w:space="0"/>
              <w:right w:val="single" w:color="auto" w:sz="4" w:space="0"/>
            </w:tcBorders>
            <w:vAlign w:val="center"/>
          </w:tcPr>
          <w:p>
            <w:pPr>
              <w:adjustRightInd w:val="0"/>
              <w:snapToGrid w:val="0"/>
              <w:jc w:val="center"/>
              <w:rPr>
                <w:rFonts w:hint="eastAsia" w:ascii="黑体" w:hAnsi="黑体" w:eastAsia="黑体" w:cs="黑体"/>
                <w:kern w:val="0"/>
                <w:sz w:val="23"/>
                <w:szCs w:val="23"/>
              </w:rPr>
            </w:pPr>
          </w:p>
        </w:tc>
        <w:tc>
          <w:tcPr>
            <w:tcW w:w="2308" w:type="dxa"/>
            <w:tcBorders>
              <w:top w:val="single" w:color="auto" w:sz="4" w:space="0"/>
              <w:left w:val="single" w:color="auto" w:sz="4" w:space="0"/>
              <w:bottom w:val="single" w:color="auto" w:sz="4" w:space="0"/>
              <w:right w:val="single" w:color="auto" w:sz="4" w:space="0"/>
            </w:tcBorders>
            <w:vAlign w:val="center"/>
          </w:tcPr>
          <w:p>
            <w:pPr>
              <w:widowControl/>
              <w:tabs>
                <w:tab w:val="left" w:pos="1778"/>
              </w:tabs>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sz w:val="20"/>
                <w:szCs w:val="20"/>
              </w:rPr>
              <w:t>16.纵向科研项目</w:t>
            </w:r>
          </w:p>
        </w:tc>
        <w:tc>
          <w:tcPr>
            <w:tcW w:w="60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国家级（100分），省部级（60分），市厅级（5分），院级（1分），按照“分值/排位序数”计算得分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（无经费支持降一级别计分）</w:t>
            </w:r>
          </w:p>
        </w:tc>
      </w:tr>
      <w:tr>
        <w:tblPrEx>
          <w:tblCellMar>
            <w:top w:w="0" w:type="dxa"/>
            <w:left w:w="108" w:type="dxa"/>
            <w:bottom w:w="0" w:type="dxa"/>
            <w:right w:w="108" w:type="dxa"/>
          </w:tblCellMar>
        </w:tblPrEx>
        <w:trPr>
          <w:trHeight w:val="919" w:hRule="atLeast"/>
          <w:jc w:val="center"/>
        </w:trPr>
        <w:tc>
          <w:tcPr>
            <w:tcW w:w="668" w:type="dxa"/>
            <w:vMerge w:val="continue"/>
            <w:tcBorders>
              <w:left w:val="single" w:color="auto" w:sz="4" w:space="0"/>
              <w:right w:val="single" w:color="auto" w:sz="4" w:space="0"/>
            </w:tcBorders>
            <w:vAlign w:val="center"/>
          </w:tcPr>
          <w:p>
            <w:pPr>
              <w:widowControl/>
              <w:adjustRightInd w:val="0"/>
              <w:snapToGrid w:val="0"/>
              <w:jc w:val="left"/>
              <w:rPr>
                <w:rFonts w:hint="eastAsia" w:ascii="黑体" w:hAnsi="黑体" w:eastAsia="黑体" w:cs="黑体"/>
                <w:kern w:val="0"/>
                <w:sz w:val="23"/>
                <w:szCs w:val="23"/>
              </w:rPr>
            </w:pP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17.科研建设项目</w:t>
            </w:r>
          </w:p>
        </w:tc>
        <w:tc>
          <w:tcPr>
            <w:tcW w:w="60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国家级（100分），省部级（60分），市厅级（5分），院级（1分），按照“分值/排位序数”计算得分</w:t>
            </w: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vAlign w:val="center"/>
          </w:tcPr>
          <w:p>
            <w:pPr>
              <w:widowControl/>
              <w:adjustRightInd w:val="0"/>
              <w:snapToGrid w:val="0"/>
              <w:jc w:val="center"/>
              <w:rPr>
                <w:rFonts w:hint="eastAsia" w:ascii="黑体" w:hAnsi="黑体" w:eastAsia="黑体" w:cs="黑体"/>
                <w:kern w:val="0"/>
                <w:sz w:val="23"/>
                <w:szCs w:val="23"/>
              </w:rPr>
            </w:pP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sz w:val="20"/>
                <w:szCs w:val="20"/>
              </w:rPr>
            </w:pPr>
            <w:r>
              <w:rPr>
                <w:rFonts w:hint="eastAsia" w:ascii="黑体" w:hAnsi="黑体" w:eastAsia="黑体" w:cs="黑体"/>
                <w:sz w:val="20"/>
                <w:szCs w:val="20"/>
              </w:rPr>
              <w:t>18.横向科研项目</w:t>
            </w:r>
          </w:p>
        </w:tc>
        <w:tc>
          <w:tcPr>
            <w:tcW w:w="60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满足基本条件后</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社会科学类：累计引进横向经费每1万元1分。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kern w:val="0"/>
                <w:sz w:val="20"/>
                <w:szCs w:val="20"/>
              </w:rPr>
              <w:t>成员按照“分值/排位序数”计算得分</w:t>
            </w: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bCs/>
                <w:kern w:val="0"/>
                <w:sz w:val="23"/>
                <w:szCs w:val="23"/>
              </w:rPr>
            </w:pP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19.科研成果奖</w:t>
            </w:r>
          </w:p>
        </w:tc>
        <w:tc>
          <w:tcPr>
            <w:tcW w:w="60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满足基本条件后</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国家级：一等奖（100分），二等奖（80分），三等奖（60分）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省级：特等奖（60分），一等奖（50分），二等奖（40分），三等奖（20分）</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市级：一等奖（10分），二等奖（8分），三等奖（5分）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院级：一等奖（5分），二等奖（3分），三等奖（1分）</w:t>
            </w:r>
          </w:p>
          <w:p>
            <w:pPr>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额定成员按照“分值/排位序数”计算得分</w:t>
            </w:r>
          </w:p>
        </w:tc>
      </w:tr>
      <w:tr>
        <w:tblPrEx>
          <w:tblCellMar>
            <w:top w:w="0" w:type="dxa"/>
            <w:left w:w="108" w:type="dxa"/>
            <w:bottom w:w="0" w:type="dxa"/>
            <w:right w:w="108" w:type="dxa"/>
          </w:tblCellMar>
        </w:tblPrEx>
        <w:trPr>
          <w:jc w:val="center"/>
        </w:trPr>
        <w:tc>
          <w:tcPr>
            <w:tcW w:w="668"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hint="eastAsia" w:ascii="黑体" w:hAnsi="黑体" w:eastAsia="黑体" w:cs="黑体"/>
                <w:b/>
                <w:bCs/>
                <w:kern w:val="0"/>
                <w:sz w:val="23"/>
                <w:szCs w:val="23"/>
              </w:rPr>
            </w:pP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kern w:val="0"/>
                <w:sz w:val="20"/>
                <w:szCs w:val="20"/>
                <w:lang w:val="en-US" w:eastAsia="zh-CN" w:bidi="ar-SA"/>
              </w:rPr>
            </w:pPr>
            <w:r>
              <w:rPr>
                <w:rFonts w:hint="eastAsia" w:ascii="黑体" w:hAnsi="黑体" w:eastAsia="黑体" w:cs="黑体"/>
                <w:color w:val="000000"/>
                <w:kern w:val="0"/>
                <w:sz w:val="20"/>
                <w:szCs w:val="20"/>
                <w:lang w:val="en-US" w:eastAsia="zh-CN"/>
              </w:rPr>
              <w:t>20</w:t>
            </w:r>
            <w:r>
              <w:rPr>
                <w:rFonts w:hint="eastAsia" w:ascii="黑体" w:hAnsi="黑体" w:eastAsia="黑体" w:cs="黑体"/>
                <w:color w:val="000000"/>
                <w:kern w:val="0"/>
                <w:sz w:val="20"/>
                <w:szCs w:val="20"/>
              </w:rPr>
              <w:t>.科技成果转化、共性关键技术研发、技术推广、专家咨询、智库建设等方面</w:t>
            </w:r>
          </w:p>
        </w:tc>
        <w:tc>
          <w:tcPr>
            <w:tcW w:w="60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满足基本条件后</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经济效益：每10万元1分；</w:t>
            </w:r>
          </w:p>
          <w:p>
            <w:pPr>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社会效益：得到市（厅）级以上政府部门的书面认可每项5分</w:t>
            </w:r>
            <w:r>
              <w:rPr>
                <w:rFonts w:hint="eastAsia" w:ascii="黑体" w:hAnsi="黑体" w:eastAsia="黑体" w:cs="黑体"/>
                <w:color w:val="000000"/>
                <w:kern w:val="0"/>
                <w:sz w:val="20"/>
                <w:szCs w:val="20"/>
                <w:lang w:eastAsia="zh-CN"/>
              </w:rPr>
              <w:t>，</w:t>
            </w:r>
            <w:r>
              <w:rPr>
                <w:rFonts w:hint="eastAsia" w:ascii="黑体" w:hAnsi="黑体" w:eastAsia="黑体" w:cs="黑体"/>
                <w:color w:val="000000"/>
                <w:kern w:val="0"/>
                <w:sz w:val="20"/>
                <w:szCs w:val="20"/>
              </w:rPr>
              <w:t>得到省（部）级以上政府部门的书面认可每项15分；</w:t>
            </w:r>
          </w:p>
          <w:p>
            <w:pPr>
              <w:adjustRightInd w:val="0"/>
              <w:snapToGrid w:val="0"/>
              <w:rPr>
                <w:rFonts w:hint="eastAsia" w:ascii="黑体" w:hAnsi="黑体" w:eastAsia="黑体" w:cs="黑体"/>
                <w:color w:val="000000"/>
                <w:kern w:val="0"/>
                <w:sz w:val="20"/>
                <w:szCs w:val="20"/>
                <w:lang w:val="en-US" w:eastAsia="zh-CN" w:bidi="ar-SA"/>
              </w:rPr>
            </w:pPr>
            <w:r>
              <w:rPr>
                <w:rFonts w:hint="eastAsia" w:ascii="黑体" w:hAnsi="黑体" w:eastAsia="黑体" w:cs="黑体"/>
                <w:color w:val="000000"/>
                <w:kern w:val="0"/>
                <w:sz w:val="20"/>
                <w:szCs w:val="20"/>
              </w:rPr>
              <w:t>成员按照“分值/排位序数”计算得分</w:t>
            </w:r>
          </w:p>
        </w:tc>
      </w:tr>
    </w:tbl>
    <w:p>
      <w:pP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说明：</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1.除“学历学位”外，其他评价项目界定周期均为任现职以来。</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2.学历学位：按国家承认的最高学历学位计分。</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3.任职年限：任职年限指任现职以来的从事学生思想政治教育工作的年限。</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4.荣誉称号包括：入选国家级、省级、市级重点人才工程项目，“万人计划”教学名师、全国优秀教师、全国模范教师、全国教育系统先进工作者、全国优秀教育工作者、全国教书育人楷模、全国高校辅导员年度人物（含提名奖）、全国高校优秀辅导员，河北省优秀教师、河北省模范教师、河北省优秀教育工作者、河北省教书育人楷模、河北省高校辅导员年度人物（含提名奖）、河北省高校优秀辅导员、河北省师德标兵、石家庄市优秀教师、石家庄市模范教师、石家庄市教学名师、石家庄市优秀教育工作者、石家庄市师德楷模、石家庄市高校优秀辅导员，学院优秀教师、学院教学名师、学院优秀教育工作者、学院师德标兵、学院优秀辅导员等思想政治工作类（综合性）荣誉称号。</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5.质量工程项目包括：教育教学改革试点(包括现代学徒制试点、“三全育人”综合改革试点、教学工作诊断与改进工作试点、定向培养士官试点),高水平专业群，高水平实训基地,全国高校黄大年式教师团队，职业教育教师教学创新团队，重点建设专业，骨干/示范/特色专业，虚拟仿真实训中心，应用技术协同创新中心、技术技能大师工作室，职业技能大赛基地等《中国特色高水平高职学校和专业建设计划项目遴选管理办法》《高等职业教育创新发展行动计划》《职业教育提质培优行动计划》文件中的重点项目，均须以正式文件为依据并在教务处备案。</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6.数字教学资源包括：专业教学资源库，精品在线课程（精品资源共享课程、精品课程），数字教材，虚拟仿真实训课程，均须以正式文件为依据并在教务处备案。</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7.综合类竞赛包括：辅导员职业技能大赛（辅导员素质能力大赛）、职业指导课程讲课大赛、军事理论课程讲课大赛等综合性比赛。</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8.学生参加竞赛包括：世界技能大赛、全国职业院校技能大赛、中国“互联网+”大学生创新创业大赛、“挑战杯”全国大学生课外学术科技作品竞赛和中国大学生创业计划竞赛。指导学生完成比赛获奖项目，以学生获奖的等次对指导教师认定加分。多名教师指导学生完成比赛获奖项目，以合作教师人数为基准按项目平均分认定加分。申请认定的教师需提供比赛组织机构出具的指导教师奖励证书或证明，否则不予计分。</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9.质量工程项目、数字教学资源、各级各类竞赛、荣誉称号等均指经学院推荐上报、由各级政府及职能部门颁发的获奖证书或荣誉称号。级别的确定以发证机关印章为准,须以正式文件为依据并在学校备案。</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lang w:val="en-US" w:eastAsia="zh-CN"/>
        </w:rPr>
      </w:pPr>
      <w:r>
        <w:rPr>
          <w:rFonts w:hint="eastAsia" w:ascii="楷体_GB2312" w:hAnsi="楷体_GB2312" w:eastAsia="楷体_GB2312" w:cs="楷体_GB2312"/>
          <w:spacing w:val="-10"/>
          <w:sz w:val="24"/>
          <w:szCs w:val="24"/>
        </w:rPr>
        <w:t>10.论文集、增刊、专刊、会议论文等无效；三大检索论文，需要提供论文和河北省科学技术情报研究院出具的收录检索报告。</w:t>
      </w:r>
      <w:r>
        <w:rPr>
          <w:rFonts w:hint="eastAsia" w:ascii="楷体_GB2312" w:hAnsi="楷体_GB2312" w:eastAsia="楷体_GB2312" w:cs="楷体_GB2312"/>
          <w:spacing w:val="-10"/>
          <w:sz w:val="24"/>
          <w:szCs w:val="24"/>
          <w:lang w:val="en-US" w:eastAsia="zh-CN"/>
        </w:rPr>
        <w:t>核心学术期刊认定范围以国家《关于深化新时代学校思想政治理论课改革创新的若干意见》和《河北省高、中级职称申报评审条件（试行）》有关规定为依据。</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11.纵向课题是指国家、省、市各级政府指定的科研行政单位代表政府发布立项的研究课题，未结项的，计得分的1/2；横向科研项目以到校经费为准；非政府部门指定或授权的各行业协会、学会、研究会课题不予认定；各种以鉴定方式通过的计划外自选课题（不含省社科规划办确认课题）不予认定。</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12.公开出版的本专业学术专著、公开发表的本专业学术论文等科研业绩成果，均应按照规定在学校进行备案登记，否则不予认定。</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13.科研建设项目包括：各级科研平台、应用技术协同创新中心、重点实验室、工程中心、软科学基地等项目。必须为第一完成单位或依托单位。</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14.科研成果奖是指科学技术奖（按届或定期组织评选的科学技术奖）和社会科学优秀成果奖（省、市政府、哲学规划办、社科联等部门颁发的社会科学研究方面有突出成果的奖励）。奖励项目按河北省职改办《关于印发&lt;河北省高级职称申报评审条件各专业对应奖励目录&gt;》（冀职改办字〔2015〕104号）规定执行。</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lang w:val="en-US" w:eastAsia="zh-CN"/>
        </w:rPr>
        <w:t>15.</w:t>
      </w:r>
      <w:r>
        <w:rPr>
          <w:rFonts w:hint="eastAsia" w:ascii="楷体_GB2312" w:hAnsi="楷体_GB2312" w:eastAsia="楷体_GB2312" w:cs="楷体_GB2312"/>
          <w:spacing w:val="-10"/>
          <w:sz w:val="24"/>
          <w:szCs w:val="24"/>
        </w:rPr>
        <w:t>科技成果取得的经济效益指该成果转化或推广应用并取得直接经济效益50万元以上；社会效益指该成果得到广泛应用，推动了本行业和社会进步，并得到市（厅）级以上政府部门的书面认可。开发科研成果的负责人须提供学校主管科研部门、使用该成果的企业（政府部门）之间的技术合同和经济、社会效益证明，效益证明需有关企业（政府部门）签章及企业负责人和财务部门负责人签字；还需提供与该成果研究方向一致的论文（第一作者或通讯作者）。</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w:t>
      </w:r>
      <w:r>
        <w:rPr>
          <w:rFonts w:hint="eastAsia" w:ascii="楷体_GB2312" w:hAnsi="楷体_GB2312" w:eastAsia="楷体_GB2312" w:cs="楷体_GB2312"/>
          <w:spacing w:val="-10"/>
          <w:sz w:val="24"/>
          <w:szCs w:val="24"/>
          <w:lang w:val="en-US" w:eastAsia="zh-CN"/>
        </w:rPr>
        <w:t>6</w:t>
      </w:r>
      <w:r>
        <w:rPr>
          <w:rFonts w:hint="eastAsia" w:ascii="楷体_GB2312" w:hAnsi="楷体_GB2312" w:eastAsia="楷体_GB2312" w:cs="楷体_GB2312"/>
          <w:spacing w:val="-10"/>
          <w:sz w:val="24"/>
          <w:szCs w:val="24"/>
        </w:rPr>
        <w:t>.思政教学工作量超出部分不予加分；年均低于额定工作量的，取消当年参评资格。</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w:t>
      </w:r>
      <w:r>
        <w:rPr>
          <w:rFonts w:hint="eastAsia" w:ascii="楷体_GB2312" w:hAnsi="楷体_GB2312" w:eastAsia="楷体_GB2312" w:cs="楷体_GB2312"/>
          <w:spacing w:val="-10"/>
          <w:sz w:val="24"/>
          <w:szCs w:val="24"/>
          <w:lang w:val="en-US" w:eastAsia="zh-CN"/>
        </w:rPr>
        <w:t>7</w:t>
      </w:r>
      <w:r>
        <w:rPr>
          <w:rFonts w:hint="eastAsia" w:ascii="楷体_GB2312" w:hAnsi="楷体_GB2312" w:eastAsia="楷体_GB2312" w:cs="楷体_GB2312"/>
          <w:spacing w:val="-10"/>
          <w:sz w:val="24"/>
          <w:szCs w:val="24"/>
        </w:rPr>
        <w:t>.主题班会、党课、团课和组织社会实践等班集体活动时间，经相关部门认定报学院备案。</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w:t>
      </w:r>
      <w:r>
        <w:rPr>
          <w:rFonts w:hint="eastAsia" w:ascii="楷体_GB2312" w:hAnsi="楷体_GB2312" w:eastAsia="楷体_GB2312" w:cs="楷体_GB2312"/>
          <w:spacing w:val="-10"/>
          <w:sz w:val="24"/>
          <w:szCs w:val="24"/>
          <w:lang w:val="en-US" w:eastAsia="zh-CN"/>
        </w:rPr>
        <w:t>8</w:t>
      </w:r>
      <w:r>
        <w:rPr>
          <w:rFonts w:hint="eastAsia" w:ascii="楷体_GB2312" w:hAnsi="楷体_GB2312" w:eastAsia="楷体_GB2312" w:cs="楷体_GB2312"/>
          <w:spacing w:val="-10"/>
          <w:sz w:val="24"/>
          <w:szCs w:val="24"/>
        </w:rPr>
        <w:t>.其他奖项包括：辅导员“大家访”先进个人、社会实践先进个人、优秀指导教师、优秀团务工作者、优秀党务工作者、优秀共产党员等思政工作类荣誉称号。</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w:t>
      </w:r>
      <w:r>
        <w:rPr>
          <w:rFonts w:hint="eastAsia" w:ascii="楷体_GB2312" w:hAnsi="楷体_GB2312" w:eastAsia="楷体_GB2312" w:cs="楷体_GB2312"/>
          <w:spacing w:val="-10"/>
          <w:sz w:val="24"/>
          <w:szCs w:val="24"/>
          <w:lang w:val="en-US" w:eastAsia="zh-CN"/>
        </w:rPr>
        <w:t>9</w:t>
      </w:r>
      <w:r>
        <w:rPr>
          <w:rFonts w:hint="eastAsia" w:ascii="楷体_GB2312" w:hAnsi="楷体_GB2312" w:eastAsia="楷体_GB2312" w:cs="楷体_GB2312"/>
          <w:spacing w:val="-10"/>
          <w:sz w:val="24"/>
          <w:szCs w:val="24"/>
        </w:rPr>
        <w:t>.同一项目获不同级别奖励按最高级别分值计分，不重复计分；多个项目获不同级别的奖励可累计加分。</w:t>
      </w:r>
    </w:p>
    <w:p>
      <w:pPr>
        <w:rPr>
          <w:rFonts w:hint="eastAsia" w:ascii="楷体_GB2312" w:hAnsi="楷体_GB2312" w:eastAsia="楷体_GB2312" w:cs="楷体_GB2312"/>
          <w:sz w:val="24"/>
          <w:szCs w:val="24"/>
        </w:rPr>
      </w:pPr>
      <w:r>
        <w:rPr>
          <w:rFonts w:hint="eastAsia" w:ascii="楷体_GB2312" w:hAnsi="楷体_GB2312" w:eastAsia="楷体_GB2312" w:cs="楷体_GB2312"/>
          <w:spacing w:val="-10"/>
          <w:sz w:val="24"/>
          <w:szCs w:val="24"/>
          <w:lang w:val="en-US" w:eastAsia="zh-CN"/>
        </w:rPr>
        <w:t>20</w:t>
      </w:r>
      <w:r>
        <w:rPr>
          <w:rFonts w:hint="eastAsia" w:ascii="楷体_GB2312" w:hAnsi="楷体_GB2312" w:eastAsia="楷体_GB2312" w:cs="楷体_GB2312"/>
          <w:spacing w:val="-10"/>
          <w:sz w:val="24"/>
          <w:szCs w:val="24"/>
        </w:rPr>
        <w:t>.“满足基本条件后”是指当申报人将某项条件做为职称评、聘的必备条件时，所取得的业绩不加分。</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职称评、聘量化评价表（非教师系列）</w:t>
      </w:r>
    </w:p>
    <w:bookmarkEnd w:id="2"/>
    <w:tbl>
      <w:tblPr>
        <w:tblStyle w:val="2"/>
        <w:tblW w:w="8702" w:type="dxa"/>
        <w:jc w:val="center"/>
        <w:tblLayout w:type="fixed"/>
        <w:tblCellMar>
          <w:top w:w="0" w:type="dxa"/>
          <w:left w:w="108" w:type="dxa"/>
          <w:bottom w:w="0" w:type="dxa"/>
          <w:right w:w="108" w:type="dxa"/>
        </w:tblCellMar>
      </w:tblPr>
      <w:tblGrid>
        <w:gridCol w:w="572"/>
        <w:gridCol w:w="2267"/>
        <w:gridCol w:w="5863"/>
      </w:tblGrid>
      <w:tr>
        <w:tblPrEx>
          <w:tblCellMar>
            <w:top w:w="0" w:type="dxa"/>
            <w:left w:w="108" w:type="dxa"/>
            <w:bottom w:w="0" w:type="dxa"/>
            <w:right w:w="108" w:type="dxa"/>
          </w:tblCellMar>
        </w:tblPrEx>
        <w:trPr>
          <w:trHeight w:val="464" w:hRule="atLeast"/>
          <w:tblHeader/>
          <w:jc w:val="center"/>
        </w:trPr>
        <w:tc>
          <w:tcPr>
            <w:tcW w:w="283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黑体" w:hAnsi="黑体" w:eastAsia="黑体" w:cs="黑体"/>
                <w:b/>
                <w:kern w:val="0"/>
                <w:sz w:val="24"/>
                <w:szCs w:val="22"/>
              </w:rPr>
            </w:pPr>
            <w:r>
              <w:rPr>
                <w:rFonts w:hint="eastAsia" w:ascii="黑体" w:hAnsi="黑体" w:eastAsia="黑体" w:cs="黑体"/>
                <w:b/>
                <w:kern w:val="0"/>
                <w:sz w:val="24"/>
                <w:szCs w:val="22"/>
              </w:rPr>
              <w:t>评价项目</w:t>
            </w:r>
          </w:p>
        </w:tc>
        <w:tc>
          <w:tcPr>
            <w:tcW w:w="5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黑体" w:hAnsi="黑体" w:eastAsia="黑体" w:cs="黑体"/>
                <w:b/>
                <w:kern w:val="0"/>
                <w:sz w:val="24"/>
                <w:szCs w:val="22"/>
              </w:rPr>
            </w:pPr>
            <w:r>
              <w:rPr>
                <w:rFonts w:hint="eastAsia" w:ascii="黑体" w:hAnsi="黑体" w:eastAsia="黑体" w:cs="黑体"/>
                <w:b/>
                <w:kern w:val="0"/>
                <w:sz w:val="24"/>
                <w:szCs w:val="22"/>
              </w:rPr>
              <w:t>评价标准</w:t>
            </w:r>
          </w:p>
        </w:tc>
      </w:tr>
      <w:tr>
        <w:tblPrEx>
          <w:tblCellMar>
            <w:top w:w="0" w:type="dxa"/>
            <w:left w:w="108" w:type="dxa"/>
            <w:bottom w:w="0" w:type="dxa"/>
            <w:right w:w="108" w:type="dxa"/>
          </w:tblCellMar>
        </w:tblPrEx>
        <w:trPr>
          <w:trHeight w:val="564" w:hRule="atLeast"/>
          <w:jc w:val="center"/>
        </w:trPr>
        <w:tc>
          <w:tcPr>
            <w:tcW w:w="572"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jc w:val="center"/>
              <w:rPr>
                <w:rFonts w:hint="eastAsia" w:ascii="黑体" w:hAnsi="黑体" w:eastAsia="黑体" w:cs="黑体"/>
                <w:b/>
                <w:kern w:val="0"/>
                <w:sz w:val="23"/>
                <w:szCs w:val="23"/>
              </w:rPr>
            </w:pPr>
            <w:r>
              <w:rPr>
                <w:rFonts w:hint="eastAsia" w:ascii="黑体" w:hAnsi="黑体" w:eastAsia="黑体" w:cs="黑体"/>
                <w:b/>
                <w:kern w:val="0"/>
                <w:sz w:val="23"/>
                <w:szCs w:val="23"/>
              </w:rPr>
              <w:t>基本</w:t>
            </w:r>
          </w:p>
          <w:p>
            <w:pPr>
              <w:widowControl/>
              <w:adjustRightInd w:val="0"/>
              <w:snapToGrid w:val="0"/>
              <w:spacing w:line="240" w:lineRule="atLeast"/>
              <w:jc w:val="center"/>
              <w:rPr>
                <w:rFonts w:hint="eastAsia" w:ascii="黑体" w:hAnsi="黑体" w:eastAsia="黑体" w:cs="黑体"/>
                <w:b/>
                <w:kern w:val="0"/>
                <w:sz w:val="23"/>
                <w:szCs w:val="23"/>
              </w:rPr>
            </w:pPr>
            <w:r>
              <w:rPr>
                <w:rFonts w:hint="eastAsia" w:ascii="黑体" w:hAnsi="黑体" w:eastAsia="黑体" w:cs="黑体"/>
                <w:b/>
                <w:kern w:val="0"/>
                <w:sz w:val="23"/>
                <w:szCs w:val="23"/>
              </w:rPr>
              <w:t xml:space="preserve">情况 </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kern w:val="0"/>
                <w:sz w:val="20"/>
                <w:szCs w:val="20"/>
              </w:rPr>
            </w:pPr>
            <w:r>
              <w:rPr>
                <w:rFonts w:hint="eastAsia" w:ascii="黑体" w:hAnsi="黑体" w:eastAsia="黑体" w:cs="黑体"/>
                <w:color w:val="000000"/>
                <w:kern w:val="0"/>
                <w:sz w:val="20"/>
                <w:szCs w:val="20"/>
              </w:rPr>
              <w:t>1.学历学位</w:t>
            </w:r>
          </w:p>
        </w:tc>
        <w:tc>
          <w:tcPr>
            <w:tcW w:w="5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kern w:val="0"/>
                <w:sz w:val="20"/>
                <w:szCs w:val="20"/>
              </w:rPr>
            </w:pPr>
            <w:r>
              <w:rPr>
                <w:rFonts w:hint="eastAsia" w:ascii="黑体" w:hAnsi="黑体" w:eastAsia="黑体" w:cs="黑体"/>
                <w:color w:val="000000"/>
                <w:kern w:val="0"/>
                <w:sz w:val="20"/>
                <w:szCs w:val="20"/>
              </w:rPr>
              <w:t xml:space="preserve">博士（双证10分、单证5分），硕士（双证6分、单证3分），学士（双证2分、单证1分） </w:t>
            </w:r>
          </w:p>
        </w:tc>
      </w:tr>
      <w:tr>
        <w:tblPrEx>
          <w:tblCellMar>
            <w:top w:w="0" w:type="dxa"/>
            <w:left w:w="108" w:type="dxa"/>
            <w:bottom w:w="0" w:type="dxa"/>
            <w:right w:w="108" w:type="dxa"/>
          </w:tblCellMar>
        </w:tblPrEx>
        <w:trPr>
          <w:trHeight w:val="427" w:hRule="atLeast"/>
          <w:jc w:val="center"/>
        </w:trPr>
        <w:tc>
          <w:tcPr>
            <w:tcW w:w="572" w:type="dxa"/>
            <w:vMerge w:val="continue"/>
            <w:tcBorders>
              <w:left w:val="single" w:color="auto" w:sz="4" w:space="0"/>
              <w:right w:val="single" w:color="auto" w:sz="4" w:space="0"/>
            </w:tcBorders>
            <w:vAlign w:val="center"/>
          </w:tcPr>
          <w:p>
            <w:pPr>
              <w:widowControl/>
              <w:adjustRightInd w:val="0"/>
              <w:snapToGrid w:val="0"/>
              <w:spacing w:line="240" w:lineRule="atLeast"/>
              <w:jc w:val="center"/>
              <w:rPr>
                <w:rFonts w:hint="eastAsia" w:ascii="黑体" w:hAnsi="黑体" w:eastAsia="黑体" w:cs="黑体"/>
                <w:b/>
                <w:kern w:val="0"/>
                <w:sz w:val="23"/>
                <w:szCs w:val="23"/>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kern w:val="0"/>
                <w:sz w:val="20"/>
                <w:szCs w:val="20"/>
              </w:rPr>
            </w:pPr>
            <w:r>
              <w:rPr>
                <w:rFonts w:hint="eastAsia" w:ascii="黑体" w:hAnsi="黑体" w:eastAsia="黑体" w:cs="黑体"/>
                <w:color w:val="000000"/>
                <w:kern w:val="0"/>
                <w:sz w:val="20"/>
                <w:szCs w:val="20"/>
              </w:rPr>
              <w:t>2.任职年限</w:t>
            </w:r>
          </w:p>
        </w:tc>
        <w:tc>
          <w:tcPr>
            <w:tcW w:w="5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任现职以来，合格以上每年0.5分</w:t>
            </w:r>
          </w:p>
        </w:tc>
      </w:tr>
      <w:tr>
        <w:tblPrEx>
          <w:tblCellMar>
            <w:top w:w="0" w:type="dxa"/>
            <w:left w:w="108" w:type="dxa"/>
            <w:bottom w:w="0" w:type="dxa"/>
            <w:right w:w="108" w:type="dxa"/>
          </w:tblCellMar>
        </w:tblPrEx>
        <w:trPr>
          <w:trHeight w:val="356" w:hRule="atLeast"/>
          <w:jc w:val="center"/>
        </w:trPr>
        <w:tc>
          <w:tcPr>
            <w:tcW w:w="572" w:type="dxa"/>
            <w:vMerge w:val="continue"/>
            <w:tcBorders>
              <w:left w:val="single" w:color="auto" w:sz="4" w:space="0"/>
              <w:right w:val="single" w:color="auto" w:sz="4" w:space="0"/>
            </w:tcBorders>
            <w:vAlign w:val="center"/>
          </w:tcPr>
          <w:p>
            <w:pPr>
              <w:widowControl/>
              <w:adjustRightInd w:val="0"/>
              <w:snapToGrid w:val="0"/>
              <w:spacing w:line="240" w:lineRule="atLeast"/>
              <w:jc w:val="center"/>
              <w:rPr>
                <w:rFonts w:hint="eastAsia" w:ascii="黑体" w:hAnsi="黑体" w:eastAsia="黑体" w:cs="黑体"/>
                <w:b/>
                <w:kern w:val="0"/>
                <w:sz w:val="23"/>
                <w:szCs w:val="23"/>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kern w:val="0"/>
                <w:sz w:val="20"/>
                <w:szCs w:val="20"/>
              </w:rPr>
            </w:pPr>
            <w:r>
              <w:rPr>
                <w:rFonts w:hint="eastAsia" w:ascii="黑体" w:hAnsi="黑体" w:eastAsia="黑体" w:cs="黑体"/>
                <w:color w:val="000000"/>
                <w:kern w:val="0"/>
                <w:sz w:val="20"/>
                <w:szCs w:val="20"/>
              </w:rPr>
              <w:t>3.年度考核</w:t>
            </w:r>
          </w:p>
        </w:tc>
        <w:tc>
          <w:tcPr>
            <w:tcW w:w="5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年度考核优秀1分/次</w:t>
            </w:r>
          </w:p>
        </w:tc>
      </w:tr>
      <w:tr>
        <w:tblPrEx>
          <w:tblCellMar>
            <w:top w:w="0" w:type="dxa"/>
            <w:left w:w="108" w:type="dxa"/>
            <w:bottom w:w="0" w:type="dxa"/>
            <w:right w:w="108" w:type="dxa"/>
          </w:tblCellMar>
        </w:tblPrEx>
        <w:trPr>
          <w:trHeight w:val="555" w:hRule="atLeast"/>
          <w:jc w:val="center"/>
        </w:trPr>
        <w:tc>
          <w:tcPr>
            <w:tcW w:w="572" w:type="dxa"/>
            <w:vMerge w:val="continue"/>
            <w:tcBorders>
              <w:left w:val="single" w:color="auto" w:sz="4" w:space="0"/>
              <w:right w:val="single" w:color="auto" w:sz="4" w:space="0"/>
            </w:tcBorders>
            <w:vAlign w:val="center"/>
          </w:tcPr>
          <w:p>
            <w:pPr>
              <w:widowControl/>
              <w:adjustRightInd w:val="0"/>
              <w:snapToGrid w:val="0"/>
              <w:spacing w:line="240" w:lineRule="atLeast"/>
              <w:jc w:val="center"/>
              <w:rPr>
                <w:rFonts w:hint="eastAsia" w:ascii="黑体" w:hAnsi="黑体" w:eastAsia="黑体" w:cs="黑体"/>
                <w:b/>
                <w:kern w:val="0"/>
                <w:sz w:val="23"/>
                <w:szCs w:val="23"/>
              </w:rPr>
            </w:pPr>
            <w:bookmarkStart w:id="3" w:name="_Hlk40102996"/>
            <w:bookmarkStart w:id="4" w:name="_Hlk40100967"/>
          </w:p>
        </w:tc>
        <w:tc>
          <w:tcPr>
            <w:tcW w:w="2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4.荣誉称号</w:t>
            </w:r>
          </w:p>
          <w:p>
            <w:pPr>
              <w:widowControl/>
              <w:adjustRightInd w:val="0"/>
              <w:snapToGrid w:val="0"/>
              <w:rPr>
                <w:rFonts w:hint="eastAsia" w:ascii="黑体" w:hAnsi="黑体" w:eastAsia="黑体" w:cs="黑体"/>
                <w:kern w:val="0"/>
                <w:sz w:val="23"/>
                <w:szCs w:val="23"/>
              </w:rPr>
            </w:pPr>
            <w:r>
              <w:rPr>
                <w:rFonts w:hint="eastAsia" w:ascii="黑体" w:hAnsi="黑体" w:eastAsia="黑体" w:cs="黑体"/>
                <w:color w:val="000000"/>
                <w:kern w:val="0"/>
                <w:sz w:val="20"/>
                <w:szCs w:val="20"/>
              </w:rPr>
              <w:t>（本项限10分）</w:t>
            </w:r>
          </w:p>
        </w:tc>
        <w:tc>
          <w:tcPr>
            <w:tcW w:w="5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FF0000"/>
                <w:kern w:val="0"/>
                <w:sz w:val="23"/>
                <w:szCs w:val="23"/>
              </w:rPr>
            </w:pPr>
            <w:r>
              <w:rPr>
                <w:rFonts w:hint="eastAsia" w:ascii="黑体" w:hAnsi="黑体" w:eastAsia="黑体" w:cs="黑体"/>
                <w:color w:val="000000"/>
                <w:kern w:val="0"/>
                <w:sz w:val="20"/>
                <w:szCs w:val="20"/>
              </w:rPr>
              <w:t>国家级（10分），省级（5分），市级（3分），院级（1分）</w:t>
            </w:r>
          </w:p>
        </w:tc>
      </w:tr>
      <w:tr>
        <w:tblPrEx>
          <w:tblCellMar>
            <w:top w:w="0" w:type="dxa"/>
            <w:left w:w="108" w:type="dxa"/>
            <w:bottom w:w="0" w:type="dxa"/>
            <w:right w:w="108" w:type="dxa"/>
          </w:tblCellMar>
        </w:tblPrEx>
        <w:trPr>
          <w:trHeight w:val="346" w:hRule="atLeast"/>
          <w:jc w:val="center"/>
        </w:trPr>
        <w:tc>
          <w:tcPr>
            <w:tcW w:w="572"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jc w:val="center"/>
              <w:rPr>
                <w:rFonts w:hint="eastAsia" w:ascii="黑体" w:hAnsi="黑体" w:eastAsia="黑体" w:cs="黑体"/>
                <w:b/>
                <w:kern w:val="0"/>
                <w:sz w:val="23"/>
                <w:szCs w:val="23"/>
              </w:rPr>
            </w:pPr>
            <w:r>
              <w:rPr>
                <w:rFonts w:hint="eastAsia" w:ascii="黑体" w:hAnsi="黑体" w:eastAsia="黑体" w:cs="黑体"/>
                <w:b/>
                <w:kern w:val="0"/>
                <w:sz w:val="23"/>
                <w:szCs w:val="23"/>
              </w:rPr>
              <w:t>专业</w:t>
            </w:r>
          </w:p>
          <w:p>
            <w:pPr>
              <w:widowControl/>
              <w:adjustRightInd w:val="0"/>
              <w:snapToGrid w:val="0"/>
              <w:spacing w:line="240" w:lineRule="atLeast"/>
              <w:jc w:val="center"/>
              <w:rPr>
                <w:rFonts w:hint="eastAsia" w:ascii="黑体" w:hAnsi="黑体" w:eastAsia="黑体" w:cs="黑体"/>
                <w:b/>
                <w:kern w:val="0"/>
                <w:sz w:val="23"/>
                <w:szCs w:val="23"/>
              </w:rPr>
            </w:pPr>
            <w:r>
              <w:rPr>
                <w:rFonts w:hint="eastAsia" w:ascii="黑体" w:hAnsi="黑体" w:eastAsia="黑体" w:cs="黑体"/>
                <w:b/>
                <w:kern w:val="0"/>
                <w:sz w:val="23"/>
                <w:szCs w:val="23"/>
              </w:rPr>
              <w:t>技术</w:t>
            </w:r>
          </w:p>
          <w:p>
            <w:pPr>
              <w:widowControl/>
              <w:adjustRightInd w:val="0"/>
              <w:snapToGrid w:val="0"/>
              <w:spacing w:line="240" w:lineRule="atLeast"/>
              <w:jc w:val="center"/>
              <w:rPr>
                <w:rFonts w:hint="eastAsia" w:ascii="黑体" w:hAnsi="黑体" w:eastAsia="黑体" w:cs="黑体"/>
                <w:b/>
                <w:kern w:val="0"/>
                <w:sz w:val="23"/>
                <w:szCs w:val="23"/>
              </w:rPr>
            </w:pPr>
            <w:r>
              <w:rPr>
                <w:rFonts w:hint="eastAsia" w:ascii="黑体" w:hAnsi="黑体" w:eastAsia="黑体" w:cs="黑体"/>
                <w:b/>
                <w:kern w:val="0"/>
                <w:sz w:val="23"/>
                <w:szCs w:val="23"/>
              </w:rPr>
              <w:t>工作</w:t>
            </w:r>
          </w:p>
          <w:p>
            <w:pPr>
              <w:widowControl/>
              <w:adjustRightInd w:val="0"/>
              <w:snapToGrid w:val="0"/>
              <w:spacing w:line="240" w:lineRule="atLeast"/>
              <w:jc w:val="center"/>
              <w:rPr>
                <w:rFonts w:hint="eastAsia" w:ascii="黑体" w:hAnsi="黑体" w:eastAsia="黑体" w:cs="黑体"/>
                <w:b/>
                <w:kern w:val="0"/>
                <w:sz w:val="23"/>
                <w:szCs w:val="23"/>
              </w:rPr>
            </w:pPr>
            <w:r>
              <w:rPr>
                <w:rFonts w:hint="eastAsia" w:ascii="黑体" w:hAnsi="黑体" w:eastAsia="黑体" w:cs="黑体"/>
                <w:b/>
                <w:kern w:val="0"/>
                <w:sz w:val="23"/>
                <w:szCs w:val="23"/>
              </w:rPr>
              <w:t>经历</w:t>
            </w:r>
          </w:p>
          <w:p>
            <w:pPr>
              <w:widowControl/>
              <w:adjustRightInd w:val="0"/>
              <w:snapToGrid w:val="0"/>
              <w:spacing w:line="240" w:lineRule="atLeast"/>
              <w:jc w:val="center"/>
              <w:rPr>
                <w:rFonts w:hint="eastAsia" w:ascii="黑体" w:hAnsi="黑体" w:eastAsia="黑体" w:cs="黑体"/>
                <w:b/>
                <w:kern w:val="0"/>
                <w:sz w:val="23"/>
                <w:szCs w:val="23"/>
              </w:rPr>
            </w:pPr>
            <w:r>
              <w:rPr>
                <w:rFonts w:hint="eastAsia" w:ascii="黑体" w:hAnsi="黑体" w:eastAsia="黑体" w:cs="黑体"/>
                <w:b/>
                <w:kern w:val="0"/>
                <w:sz w:val="23"/>
                <w:szCs w:val="23"/>
              </w:rPr>
              <w:t>能力</w:t>
            </w:r>
            <w:bookmarkEnd w:id="3"/>
            <w:bookmarkEnd w:id="4"/>
          </w:p>
        </w:tc>
        <w:tc>
          <w:tcPr>
            <w:tcW w:w="2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rPr>
                <w:rFonts w:hint="eastAsia" w:ascii="黑体" w:hAnsi="黑体" w:eastAsia="黑体" w:cs="黑体"/>
                <w:kern w:val="0"/>
                <w:sz w:val="20"/>
                <w:szCs w:val="20"/>
              </w:rPr>
            </w:pPr>
            <w:r>
              <w:rPr>
                <w:rFonts w:hint="eastAsia" w:ascii="黑体" w:hAnsi="黑体" w:eastAsia="黑体" w:cs="黑体"/>
                <w:sz w:val="20"/>
                <w:szCs w:val="20"/>
              </w:rPr>
              <w:t>5.工作表现</w:t>
            </w:r>
          </w:p>
        </w:tc>
        <w:tc>
          <w:tcPr>
            <w:tcW w:w="5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rPr>
                <w:rFonts w:hint="eastAsia" w:ascii="黑体" w:hAnsi="黑体" w:eastAsia="黑体" w:cs="黑体"/>
                <w:kern w:val="0"/>
                <w:sz w:val="20"/>
                <w:szCs w:val="20"/>
              </w:rPr>
            </w:pPr>
            <w:r>
              <w:rPr>
                <w:rFonts w:hint="eastAsia" w:ascii="黑体" w:hAnsi="黑体" w:eastAsia="黑体" w:cs="黑体"/>
                <w:kern w:val="0"/>
                <w:sz w:val="20"/>
                <w:szCs w:val="20"/>
              </w:rPr>
              <w:t>期间按时到岗，工作积极，认真完成岗位工作任务，无迟到、早退、无故脱岗等现象（满分10分；旷工每半日扣2分，事假每半日扣0.5分，病假每半日扣0.1分，10分扣完为止）</w:t>
            </w:r>
          </w:p>
        </w:tc>
      </w:tr>
      <w:tr>
        <w:tblPrEx>
          <w:tblCellMar>
            <w:top w:w="0" w:type="dxa"/>
            <w:left w:w="108" w:type="dxa"/>
            <w:bottom w:w="0" w:type="dxa"/>
            <w:right w:w="108" w:type="dxa"/>
          </w:tblCellMar>
        </w:tblPrEx>
        <w:trPr>
          <w:trHeight w:val="528" w:hRule="atLeast"/>
          <w:jc w:val="center"/>
        </w:trPr>
        <w:tc>
          <w:tcPr>
            <w:tcW w:w="572" w:type="dxa"/>
            <w:vMerge w:val="continue"/>
            <w:tcBorders>
              <w:top w:val="single" w:color="auto" w:sz="4" w:space="0"/>
              <w:left w:val="single" w:color="auto" w:sz="4" w:space="0"/>
              <w:right w:val="single" w:color="auto" w:sz="4" w:space="0"/>
            </w:tcBorders>
            <w:vAlign w:val="center"/>
          </w:tcPr>
          <w:p>
            <w:pPr>
              <w:widowControl/>
              <w:adjustRightInd w:val="0"/>
              <w:snapToGrid w:val="0"/>
              <w:spacing w:line="240" w:lineRule="atLeast"/>
              <w:jc w:val="center"/>
              <w:rPr>
                <w:rFonts w:hint="eastAsia" w:ascii="黑体" w:hAnsi="黑体" w:eastAsia="黑体" w:cs="黑体"/>
                <w:b/>
                <w:kern w:val="0"/>
                <w:sz w:val="23"/>
                <w:szCs w:val="23"/>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rPr>
                <w:rFonts w:hint="eastAsia" w:ascii="黑体" w:hAnsi="黑体" w:eastAsia="黑体" w:cs="黑体"/>
                <w:kern w:val="0"/>
                <w:sz w:val="20"/>
                <w:szCs w:val="20"/>
              </w:rPr>
            </w:pPr>
            <w:r>
              <w:rPr>
                <w:rFonts w:hint="eastAsia" w:ascii="黑体" w:hAnsi="黑体" w:eastAsia="黑体" w:cs="黑体"/>
                <w:sz w:val="20"/>
                <w:szCs w:val="20"/>
              </w:rPr>
              <w:t>6.工作经历</w:t>
            </w:r>
          </w:p>
        </w:tc>
        <w:tc>
          <w:tcPr>
            <w:tcW w:w="5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rPr>
                <w:rFonts w:hint="eastAsia" w:ascii="黑体" w:hAnsi="黑体" w:eastAsia="黑体" w:cs="黑体"/>
                <w:color w:val="000000"/>
                <w:kern w:val="0"/>
                <w:sz w:val="20"/>
                <w:szCs w:val="20"/>
              </w:rPr>
            </w:pPr>
            <w:r>
              <w:rPr>
                <w:rFonts w:hint="eastAsia" w:ascii="黑体" w:hAnsi="黑体" w:eastAsia="黑体" w:cs="黑体"/>
                <w:color w:val="000000"/>
                <w:sz w:val="20"/>
                <w:szCs w:val="20"/>
              </w:rPr>
              <w:t>任职年限内连续在</w:t>
            </w:r>
            <w:bookmarkStart w:id="5" w:name="_Hlk40102149"/>
            <w:r>
              <w:rPr>
                <w:rFonts w:hint="eastAsia" w:ascii="黑体" w:hAnsi="黑体" w:eastAsia="黑体" w:cs="黑体"/>
                <w:color w:val="000000"/>
                <w:sz w:val="20"/>
                <w:szCs w:val="20"/>
              </w:rPr>
              <w:t>申报专业技术岗位</w:t>
            </w:r>
            <w:bookmarkEnd w:id="5"/>
            <w:r>
              <w:rPr>
                <w:rFonts w:hint="eastAsia" w:ascii="黑体" w:hAnsi="黑体" w:eastAsia="黑体" w:cs="黑体"/>
                <w:color w:val="000000"/>
                <w:sz w:val="20"/>
                <w:szCs w:val="20"/>
              </w:rPr>
              <w:t>工作计5分，未连续在申报专业技术岗位工作计3分</w:t>
            </w:r>
          </w:p>
        </w:tc>
      </w:tr>
      <w:tr>
        <w:tblPrEx>
          <w:tblCellMar>
            <w:top w:w="0" w:type="dxa"/>
            <w:left w:w="108" w:type="dxa"/>
            <w:bottom w:w="0" w:type="dxa"/>
            <w:right w:w="108" w:type="dxa"/>
          </w:tblCellMar>
        </w:tblPrEx>
        <w:trPr>
          <w:trHeight w:val="2482" w:hRule="atLeast"/>
          <w:jc w:val="center"/>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黑体" w:hAnsi="黑体" w:eastAsia="黑体" w:cs="黑体"/>
                <w:b/>
                <w:kern w:val="0"/>
                <w:sz w:val="23"/>
                <w:szCs w:val="23"/>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rPr>
                <w:rFonts w:hint="eastAsia" w:ascii="黑体" w:hAnsi="黑体" w:eastAsia="黑体" w:cs="黑体"/>
                <w:kern w:val="0"/>
                <w:sz w:val="20"/>
                <w:szCs w:val="20"/>
              </w:rPr>
            </w:pPr>
            <w:r>
              <w:rPr>
                <w:rFonts w:hint="eastAsia" w:ascii="黑体" w:hAnsi="黑体" w:eastAsia="黑体" w:cs="黑体"/>
                <w:sz w:val="20"/>
                <w:szCs w:val="20"/>
              </w:rPr>
              <w:t>7.工作能力</w:t>
            </w:r>
          </w:p>
        </w:tc>
        <w:tc>
          <w:tcPr>
            <w:tcW w:w="5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rPr>
                <w:rFonts w:hint="eastAsia" w:ascii="黑体" w:hAnsi="黑体" w:eastAsia="黑体" w:cs="黑体"/>
                <w:sz w:val="20"/>
                <w:szCs w:val="20"/>
              </w:rPr>
            </w:pPr>
            <w:r>
              <w:rPr>
                <w:rFonts w:hint="eastAsia" w:ascii="黑体" w:hAnsi="黑体" w:eastAsia="黑体" w:cs="黑体"/>
                <w:sz w:val="20"/>
                <w:szCs w:val="20"/>
              </w:rPr>
              <w:t>1.担任技术、专业负责人，主持或执笔完成本部门的专业、业务规章制度，并正式应用，或完成较大规模项目的研发、设计、施工、监理、安装等工作，计10分。</w:t>
            </w:r>
          </w:p>
          <w:p>
            <w:pPr>
              <w:widowControl/>
              <w:adjustRightInd w:val="0"/>
              <w:snapToGrid w:val="0"/>
              <w:spacing w:line="240" w:lineRule="atLeast"/>
              <w:rPr>
                <w:rFonts w:hint="eastAsia" w:ascii="黑体" w:hAnsi="黑体" w:eastAsia="黑体" w:cs="黑体"/>
                <w:sz w:val="20"/>
                <w:szCs w:val="20"/>
              </w:rPr>
            </w:pPr>
            <w:r>
              <w:rPr>
                <w:rFonts w:hint="eastAsia" w:ascii="黑体" w:hAnsi="黑体" w:eastAsia="黑体" w:cs="黑体"/>
                <w:sz w:val="20"/>
                <w:szCs w:val="20"/>
              </w:rPr>
              <w:t xml:space="preserve">2.担任技术、专业主要骨干，参与本部门的专业、业务规章制度的制定，并正式应用，或完成较大规模项目的研发、设计、施工、监理、安装等工作，计6分。 </w:t>
            </w:r>
          </w:p>
          <w:p>
            <w:pPr>
              <w:widowControl/>
              <w:adjustRightInd w:val="0"/>
              <w:snapToGrid w:val="0"/>
              <w:spacing w:line="240" w:lineRule="atLeast"/>
              <w:rPr>
                <w:rFonts w:hint="eastAsia" w:ascii="黑体" w:hAnsi="黑体" w:eastAsia="黑体" w:cs="黑体"/>
                <w:kern w:val="0"/>
                <w:sz w:val="20"/>
                <w:szCs w:val="20"/>
              </w:rPr>
            </w:pPr>
            <w:r>
              <w:rPr>
                <w:rFonts w:hint="eastAsia" w:ascii="黑体" w:hAnsi="黑体" w:eastAsia="黑体" w:cs="黑体"/>
                <w:sz w:val="20"/>
                <w:szCs w:val="20"/>
              </w:rPr>
              <w:t>3.担任技术、专业骨干，辅助本部门的专业、业务规章制度的制定，并正式应用，或完成较大规模项目的研发、设计、施工、监理、安装等工作，计4分。</w:t>
            </w:r>
          </w:p>
        </w:tc>
      </w:tr>
      <w:tr>
        <w:tblPrEx>
          <w:tblCellMar>
            <w:top w:w="0" w:type="dxa"/>
            <w:left w:w="108" w:type="dxa"/>
            <w:bottom w:w="0" w:type="dxa"/>
            <w:right w:w="108" w:type="dxa"/>
          </w:tblCellMar>
        </w:tblPrEx>
        <w:trPr>
          <w:trHeight w:val="872" w:hRule="atLeast"/>
          <w:jc w:val="center"/>
        </w:trPr>
        <w:tc>
          <w:tcPr>
            <w:tcW w:w="572"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黑体" w:hAnsi="黑体" w:eastAsia="黑体" w:cs="黑体"/>
                <w:b/>
                <w:kern w:val="0"/>
                <w:sz w:val="23"/>
                <w:szCs w:val="23"/>
              </w:rPr>
            </w:pPr>
            <w:bookmarkStart w:id="6" w:name="_Hlk40100984"/>
            <w:r>
              <w:rPr>
                <w:rFonts w:hint="eastAsia" w:ascii="黑体" w:hAnsi="黑体" w:eastAsia="黑体" w:cs="黑体"/>
                <w:b/>
                <w:kern w:val="0"/>
                <w:sz w:val="23"/>
                <w:szCs w:val="23"/>
              </w:rPr>
              <w:t>业绩</w:t>
            </w:r>
          </w:p>
          <w:p>
            <w:pPr>
              <w:widowControl/>
              <w:adjustRightInd w:val="0"/>
              <w:snapToGrid w:val="0"/>
              <w:jc w:val="center"/>
              <w:rPr>
                <w:rFonts w:hint="eastAsia" w:ascii="黑体" w:hAnsi="黑体" w:eastAsia="黑体" w:cs="黑体"/>
                <w:b/>
                <w:kern w:val="0"/>
                <w:sz w:val="23"/>
                <w:szCs w:val="23"/>
              </w:rPr>
            </w:pPr>
            <w:r>
              <w:rPr>
                <w:rFonts w:hint="eastAsia" w:ascii="黑体" w:hAnsi="黑体" w:eastAsia="黑体" w:cs="黑体"/>
                <w:b/>
                <w:kern w:val="0"/>
                <w:sz w:val="23"/>
                <w:szCs w:val="23"/>
              </w:rPr>
              <w:t>成果</w:t>
            </w:r>
            <w:bookmarkEnd w:id="6"/>
          </w:p>
        </w:tc>
        <w:tc>
          <w:tcPr>
            <w:tcW w:w="2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kern w:val="0"/>
                <w:sz w:val="20"/>
                <w:szCs w:val="20"/>
              </w:rPr>
            </w:pPr>
            <w:r>
              <w:rPr>
                <w:rFonts w:hint="eastAsia" w:ascii="黑体" w:hAnsi="黑体" w:eastAsia="黑体" w:cs="黑体"/>
                <w:kern w:val="0"/>
                <w:sz w:val="20"/>
                <w:szCs w:val="20"/>
              </w:rPr>
              <w:t>8.专业工作奖</w:t>
            </w:r>
          </w:p>
        </w:tc>
        <w:tc>
          <w:tcPr>
            <w:tcW w:w="5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sz w:val="20"/>
                <w:szCs w:val="20"/>
              </w:rPr>
            </w:pPr>
            <w:r>
              <w:rPr>
                <w:rFonts w:hint="eastAsia" w:ascii="黑体" w:hAnsi="黑体" w:eastAsia="黑体" w:cs="黑体"/>
                <w:sz w:val="20"/>
                <w:szCs w:val="20"/>
              </w:rPr>
              <w:t>国家级：一等奖（30分），二等奖（20分），三等奖（15分）</w:t>
            </w:r>
          </w:p>
          <w:p>
            <w:pPr>
              <w:widowControl/>
              <w:adjustRightInd w:val="0"/>
              <w:snapToGrid w:val="0"/>
              <w:rPr>
                <w:rFonts w:hint="eastAsia" w:ascii="黑体" w:hAnsi="黑体" w:eastAsia="黑体" w:cs="黑体"/>
                <w:sz w:val="20"/>
                <w:szCs w:val="20"/>
              </w:rPr>
            </w:pPr>
            <w:r>
              <w:rPr>
                <w:rFonts w:hint="eastAsia" w:ascii="黑体" w:hAnsi="黑体" w:eastAsia="黑体" w:cs="黑体"/>
                <w:sz w:val="20"/>
                <w:szCs w:val="20"/>
              </w:rPr>
              <w:t>省部级：一等奖（15分），二等奖（10分），三等奖（5分）</w:t>
            </w:r>
          </w:p>
          <w:p>
            <w:pPr>
              <w:widowControl/>
              <w:adjustRightInd w:val="0"/>
              <w:snapToGrid w:val="0"/>
              <w:rPr>
                <w:rFonts w:hint="eastAsia" w:ascii="黑体" w:hAnsi="黑体" w:eastAsia="黑体" w:cs="黑体"/>
                <w:sz w:val="20"/>
                <w:szCs w:val="20"/>
              </w:rPr>
            </w:pPr>
            <w:r>
              <w:rPr>
                <w:rFonts w:hint="eastAsia" w:ascii="黑体" w:hAnsi="黑体" w:eastAsia="黑体" w:cs="黑体"/>
                <w:sz w:val="20"/>
                <w:szCs w:val="20"/>
              </w:rPr>
              <w:t>市厅级：一等奖（5分），二等奖（3分），三等奖（1分）</w:t>
            </w:r>
          </w:p>
          <w:p>
            <w:pPr>
              <w:widowControl/>
              <w:adjustRightInd w:val="0"/>
              <w:snapToGrid w:val="0"/>
              <w:rPr>
                <w:rFonts w:hint="eastAsia" w:ascii="黑体" w:hAnsi="黑体" w:eastAsia="黑体" w:cs="黑体"/>
                <w:sz w:val="20"/>
                <w:szCs w:val="20"/>
              </w:rPr>
            </w:pPr>
            <w:r>
              <w:rPr>
                <w:rFonts w:hint="eastAsia" w:ascii="黑体" w:hAnsi="黑体" w:eastAsia="黑体" w:cs="黑体"/>
                <w:color w:val="000000"/>
                <w:sz w:val="20"/>
                <w:szCs w:val="20"/>
              </w:rPr>
              <w:t>额定成员按照“</w:t>
            </w:r>
            <w:r>
              <w:rPr>
                <w:rFonts w:hint="eastAsia" w:ascii="黑体" w:hAnsi="黑体" w:eastAsia="黑体" w:cs="黑体"/>
                <w:color w:val="000000"/>
                <w:kern w:val="0"/>
                <w:sz w:val="20"/>
                <w:szCs w:val="20"/>
              </w:rPr>
              <w:t>分值</w:t>
            </w:r>
            <w:r>
              <w:rPr>
                <w:rFonts w:hint="eastAsia" w:ascii="黑体" w:hAnsi="黑体" w:eastAsia="黑体" w:cs="黑体"/>
                <w:color w:val="000000"/>
                <w:sz w:val="20"/>
                <w:szCs w:val="20"/>
              </w:rPr>
              <w:t>/排位序数”计算得分</w:t>
            </w:r>
          </w:p>
        </w:tc>
      </w:tr>
      <w:tr>
        <w:tblPrEx>
          <w:tblCellMar>
            <w:top w:w="0" w:type="dxa"/>
            <w:left w:w="108" w:type="dxa"/>
            <w:bottom w:w="0" w:type="dxa"/>
            <w:right w:w="108" w:type="dxa"/>
          </w:tblCellMar>
        </w:tblPrEx>
        <w:trPr>
          <w:trHeight w:val="1229" w:hRule="atLeast"/>
          <w:jc w:val="center"/>
        </w:trPr>
        <w:tc>
          <w:tcPr>
            <w:tcW w:w="572" w:type="dxa"/>
            <w:vMerge w:val="continue"/>
            <w:tcBorders>
              <w:left w:val="single" w:color="auto" w:sz="4" w:space="0"/>
              <w:right w:val="single" w:color="auto" w:sz="4" w:space="0"/>
            </w:tcBorders>
            <w:vAlign w:val="center"/>
          </w:tcPr>
          <w:p>
            <w:pPr>
              <w:adjustRightInd w:val="0"/>
              <w:snapToGrid w:val="0"/>
              <w:jc w:val="center"/>
              <w:rPr>
                <w:rFonts w:hint="eastAsia" w:ascii="黑体" w:hAnsi="黑体" w:eastAsia="黑体" w:cs="黑体"/>
                <w:b/>
                <w:kern w:val="0"/>
                <w:sz w:val="23"/>
                <w:szCs w:val="23"/>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kern w:val="0"/>
                <w:sz w:val="20"/>
                <w:szCs w:val="20"/>
              </w:rPr>
            </w:pPr>
            <w:r>
              <w:rPr>
                <w:rFonts w:hint="eastAsia" w:ascii="黑体" w:hAnsi="黑体" w:eastAsia="黑体" w:cs="黑体"/>
                <w:kern w:val="0"/>
                <w:sz w:val="20"/>
                <w:szCs w:val="20"/>
              </w:rPr>
              <w:t>9.科研项目</w:t>
            </w:r>
          </w:p>
        </w:tc>
        <w:tc>
          <w:tcPr>
            <w:tcW w:w="5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国家级（100分），省部级（60分），市厅级（5分），院级（1分），按照“分值/排位序数”计算得分</w:t>
            </w:r>
          </w:p>
          <w:p>
            <w:pPr>
              <w:widowControl/>
              <w:adjustRightInd w:val="0"/>
              <w:snapToGrid w:val="0"/>
              <w:rPr>
                <w:rFonts w:hint="eastAsia" w:ascii="黑体" w:hAnsi="黑体" w:eastAsia="黑体" w:cs="黑体"/>
                <w:kern w:val="0"/>
                <w:sz w:val="20"/>
                <w:szCs w:val="20"/>
              </w:rPr>
            </w:pPr>
            <w:r>
              <w:rPr>
                <w:rFonts w:hint="eastAsia" w:ascii="黑体" w:hAnsi="黑体" w:eastAsia="黑体" w:cs="黑体"/>
                <w:color w:val="000000"/>
                <w:kern w:val="0"/>
                <w:sz w:val="20"/>
                <w:szCs w:val="20"/>
              </w:rPr>
              <w:t>（无经费支持降一级别计分）</w:t>
            </w:r>
          </w:p>
        </w:tc>
      </w:tr>
      <w:tr>
        <w:tblPrEx>
          <w:tblCellMar>
            <w:top w:w="0" w:type="dxa"/>
            <w:left w:w="108" w:type="dxa"/>
            <w:bottom w:w="0" w:type="dxa"/>
            <w:right w:w="108" w:type="dxa"/>
          </w:tblCellMar>
        </w:tblPrEx>
        <w:trPr>
          <w:trHeight w:val="854" w:hRule="atLeast"/>
          <w:jc w:val="center"/>
        </w:trPr>
        <w:tc>
          <w:tcPr>
            <w:tcW w:w="572" w:type="dxa"/>
            <w:vMerge w:val="continue"/>
            <w:tcBorders>
              <w:left w:val="single" w:color="auto" w:sz="4" w:space="0"/>
              <w:right w:val="single" w:color="auto" w:sz="4" w:space="0"/>
            </w:tcBorders>
            <w:vAlign w:val="center"/>
          </w:tcPr>
          <w:p>
            <w:pPr>
              <w:adjustRightInd w:val="0"/>
              <w:snapToGrid w:val="0"/>
              <w:jc w:val="center"/>
              <w:rPr>
                <w:rFonts w:hint="eastAsia" w:ascii="黑体" w:hAnsi="黑体" w:eastAsia="黑体" w:cs="黑体"/>
                <w:b/>
                <w:kern w:val="0"/>
                <w:sz w:val="23"/>
                <w:szCs w:val="23"/>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kern w:val="0"/>
                <w:sz w:val="20"/>
                <w:szCs w:val="20"/>
              </w:rPr>
            </w:pPr>
            <w:r>
              <w:rPr>
                <w:rFonts w:hint="eastAsia" w:ascii="黑体" w:hAnsi="黑体" w:eastAsia="黑体" w:cs="黑体"/>
                <w:kern w:val="0"/>
                <w:sz w:val="20"/>
                <w:szCs w:val="20"/>
              </w:rPr>
              <w:t>10.公开发表论文</w:t>
            </w:r>
          </w:p>
          <w:p>
            <w:pPr>
              <w:widowControl/>
              <w:adjustRightInd w:val="0"/>
              <w:snapToGrid w:val="0"/>
              <w:rPr>
                <w:rFonts w:hint="eastAsia" w:ascii="黑体" w:hAnsi="黑体" w:eastAsia="黑体" w:cs="黑体"/>
                <w:kern w:val="0"/>
                <w:sz w:val="20"/>
                <w:szCs w:val="20"/>
              </w:rPr>
            </w:pPr>
            <w:r>
              <w:rPr>
                <w:rFonts w:hint="eastAsia" w:ascii="黑体" w:hAnsi="黑体" w:eastAsia="黑体" w:cs="黑体"/>
                <w:kern w:val="0"/>
                <w:sz w:val="20"/>
                <w:szCs w:val="20"/>
              </w:rPr>
              <w:t>（本项限8篇、限10分）</w:t>
            </w:r>
          </w:p>
        </w:tc>
        <w:tc>
          <w:tcPr>
            <w:tcW w:w="5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kern w:val="0"/>
                <w:sz w:val="20"/>
                <w:szCs w:val="20"/>
              </w:rPr>
            </w:pPr>
            <w:r>
              <w:rPr>
                <w:rFonts w:hint="eastAsia" w:ascii="黑体" w:hAnsi="黑体" w:eastAsia="黑体" w:cs="黑体"/>
                <w:kern w:val="0"/>
                <w:sz w:val="20"/>
                <w:szCs w:val="20"/>
              </w:rPr>
              <w:t>满足基本条件后</w:t>
            </w:r>
          </w:p>
          <w:p>
            <w:pPr>
              <w:widowControl/>
              <w:adjustRightInd w:val="0"/>
              <w:snapToGrid w:val="0"/>
              <w:rPr>
                <w:rFonts w:hint="eastAsia" w:ascii="黑体" w:hAnsi="黑体" w:eastAsia="黑体" w:cs="黑体"/>
                <w:kern w:val="0"/>
                <w:sz w:val="20"/>
                <w:szCs w:val="20"/>
              </w:rPr>
            </w:pPr>
            <w:r>
              <w:rPr>
                <w:rFonts w:hint="eastAsia" w:ascii="黑体" w:hAnsi="黑体" w:eastAsia="黑体" w:cs="黑体"/>
                <w:kern w:val="0"/>
                <w:sz w:val="20"/>
                <w:szCs w:val="20"/>
              </w:rPr>
              <w:t>三大检索论文（8分/篇），核心期刊论文（6分/篇），普通期刊论文（1分/篇），按照“分值/排位序数”计算得分</w:t>
            </w:r>
          </w:p>
        </w:tc>
      </w:tr>
      <w:tr>
        <w:tblPrEx>
          <w:tblCellMar>
            <w:top w:w="0" w:type="dxa"/>
            <w:left w:w="108" w:type="dxa"/>
            <w:bottom w:w="0" w:type="dxa"/>
            <w:right w:w="108" w:type="dxa"/>
          </w:tblCellMar>
        </w:tblPrEx>
        <w:trPr>
          <w:trHeight w:val="520" w:hRule="atLeast"/>
          <w:jc w:val="center"/>
        </w:trPr>
        <w:tc>
          <w:tcPr>
            <w:tcW w:w="572"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hint="eastAsia" w:ascii="黑体" w:hAnsi="黑体" w:eastAsia="黑体" w:cs="黑体"/>
                <w:b/>
                <w:kern w:val="0"/>
                <w:sz w:val="23"/>
                <w:szCs w:val="23"/>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黑体" w:hAnsi="黑体" w:eastAsia="黑体" w:cs="黑体"/>
                <w:kern w:val="0"/>
                <w:sz w:val="20"/>
                <w:szCs w:val="20"/>
              </w:rPr>
            </w:pPr>
            <w:r>
              <w:rPr>
                <w:rFonts w:hint="eastAsia" w:ascii="黑体" w:hAnsi="黑体" w:eastAsia="黑体" w:cs="黑体"/>
                <w:kern w:val="0"/>
                <w:sz w:val="20"/>
                <w:szCs w:val="20"/>
              </w:rPr>
              <w:t>11.专利</w:t>
            </w:r>
          </w:p>
        </w:tc>
        <w:tc>
          <w:tcPr>
            <w:tcW w:w="5863" w:type="dxa"/>
            <w:tcBorders>
              <w:top w:val="single" w:color="auto" w:sz="4" w:space="0"/>
              <w:left w:val="single" w:color="auto" w:sz="4" w:space="0"/>
              <w:bottom w:val="single" w:color="auto" w:sz="4" w:space="0"/>
              <w:right w:val="single" w:color="auto" w:sz="4" w:space="0"/>
            </w:tcBorders>
            <w:vAlign w:val="center"/>
          </w:tcPr>
          <w:p>
            <w:pPr>
              <w:tabs>
                <w:tab w:val="left" w:pos="1778"/>
              </w:tabs>
              <w:adjustRightInd w:val="0"/>
              <w:snapToGrid w:val="0"/>
              <w:rPr>
                <w:rFonts w:hint="eastAsia" w:ascii="黑体" w:hAnsi="黑体" w:eastAsia="黑体" w:cs="黑体"/>
                <w:color w:val="000000"/>
                <w:sz w:val="20"/>
                <w:szCs w:val="20"/>
              </w:rPr>
            </w:pPr>
            <w:r>
              <w:rPr>
                <w:rFonts w:hint="eastAsia" w:ascii="黑体" w:hAnsi="黑体" w:eastAsia="黑体" w:cs="黑体"/>
                <w:color w:val="000000"/>
                <w:sz w:val="20"/>
                <w:szCs w:val="20"/>
              </w:rPr>
              <w:t>发明专利（8分）</w:t>
            </w:r>
          </w:p>
          <w:p>
            <w:pPr>
              <w:widowControl/>
              <w:adjustRightInd w:val="0"/>
              <w:snapToGrid w:val="0"/>
              <w:rPr>
                <w:rFonts w:hint="eastAsia" w:ascii="黑体" w:hAnsi="黑体" w:eastAsia="黑体" w:cs="黑体"/>
                <w:kern w:val="0"/>
                <w:sz w:val="20"/>
                <w:szCs w:val="20"/>
              </w:rPr>
            </w:pPr>
            <w:r>
              <w:rPr>
                <w:rFonts w:hint="eastAsia" w:ascii="黑体" w:hAnsi="黑体" w:eastAsia="黑体" w:cs="黑体"/>
                <w:color w:val="000000"/>
                <w:kern w:val="0"/>
                <w:sz w:val="20"/>
                <w:szCs w:val="20"/>
              </w:rPr>
              <w:t>按照“分值/排位序数”计算得分</w:t>
            </w:r>
          </w:p>
        </w:tc>
      </w:tr>
    </w:tbl>
    <w:p>
      <w:pPr>
        <w:tabs>
          <w:tab w:val="left" w:pos="0"/>
          <w:tab w:val="left" w:pos="8280"/>
        </w:tabs>
        <w:adjustRightInd w:val="0"/>
        <w:snapToGrid w:val="0"/>
        <w:rPr>
          <w:rFonts w:ascii="等线" w:hAnsi="等线" w:eastAsia="仿宋_GB2312" w:cs="Times New Roman"/>
          <w:b/>
          <w:bCs/>
          <w:color w:val="000000"/>
          <w:szCs w:val="22"/>
        </w:rPr>
      </w:pPr>
    </w:p>
    <w:p>
      <w:pPr>
        <w:tabs>
          <w:tab w:val="left" w:pos="0"/>
          <w:tab w:val="left" w:pos="8280"/>
        </w:tabs>
        <w:adjustRightInd w:val="0"/>
        <w:snapToGrid w:val="0"/>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sz w:val="24"/>
          <w:szCs w:val="24"/>
        </w:rPr>
        <w:t>说明：</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1.除“学历学位”外，其他评价项目界定周期均为任现职以来。</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2.学历学位：按国家承认的最高学历学位计分。</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3.任职年限：任职年限指任现职以来的从事相应岗位工作的年限。</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4.荣誉称号包括：入选国家级、省级、市级重点人才工程项目，“万人计划”教学名师、全国优秀教师、全国模范教师、全国教育系统先进工作者、全国优秀教育工作者、全国教书育人楷模，河北省优秀教师、河北省模范教师、河北省优秀教育工作者、河北省教书育人楷模、河北省师德标兵、石家庄市优秀教师、石家庄市模范教师、石家庄市教学名师、石家庄市优秀教育工作者、石家庄市师德楷模，学院优秀教师、学院教学名师、学院优秀教育工作者、学院师德标兵等荣誉称号。</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5.专业工作奖原则上以省人社厅下发的《河北省高级职称申报评审条件各专业对应奖励项目表》（冀职改办〔2015〕104号）规定的“必备奖项”和“参考奖项”为准；各类奖项只记一项最高级别，不累加。</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6.主持、执笔或项目以原始材料记载为准，证明无效。</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rPr>
      </w:pPr>
      <w:r>
        <w:rPr>
          <w:rFonts w:hint="eastAsia" w:ascii="楷体_GB2312" w:hAnsi="楷体_GB2312" w:eastAsia="楷体_GB2312" w:cs="楷体_GB2312"/>
          <w:spacing w:val="-10"/>
          <w:sz w:val="24"/>
          <w:szCs w:val="24"/>
        </w:rPr>
        <w:t>7.科研项目记分以项目申请书、立项通知书或结项证书为依据；未结项的，计得分的1/2。</w:t>
      </w:r>
    </w:p>
    <w:p>
      <w:pPr>
        <w:tabs>
          <w:tab w:val="left" w:pos="990"/>
          <w:tab w:val="left" w:pos="8280"/>
        </w:tabs>
        <w:adjustRightInd w:val="0"/>
        <w:snapToGrid w:val="0"/>
        <w:spacing w:line="240" w:lineRule="atLeast"/>
        <w:rPr>
          <w:rFonts w:hint="eastAsia" w:ascii="楷体_GB2312" w:hAnsi="楷体_GB2312" w:eastAsia="楷体_GB2312" w:cs="楷体_GB2312"/>
          <w:spacing w:val="-10"/>
          <w:sz w:val="24"/>
          <w:szCs w:val="24"/>
          <w:lang w:val="en-US" w:eastAsia="zh-CN"/>
        </w:rPr>
      </w:pPr>
      <w:r>
        <w:rPr>
          <w:rFonts w:hint="eastAsia" w:ascii="楷体_GB2312" w:hAnsi="楷体_GB2312" w:eastAsia="楷体_GB2312" w:cs="楷体_GB2312"/>
          <w:spacing w:val="-10"/>
          <w:sz w:val="24"/>
          <w:szCs w:val="24"/>
        </w:rPr>
        <w:t>8.论文集、增刊、专刊、会议论文等无效；三大检索论文，需要提供论文和河北省科学技术情报研究院出具的收录检索报告。</w:t>
      </w:r>
      <w:r>
        <w:rPr>
          <w:rFonts w:hint="eastAsia" w:ascii="楷体_GB2312" w:hAnsi="楷体_GB2312" w:eastAsia="楷体_GB2312" w:cs="楷体_GB2312"/>
          <w:spacing w:val="-10"/>
          <w:sz w:val="24"/>
          <w:szCs w:val="24"/>
          <w:lang w:val="en-US" w:eastAsia="zh-CN"/>
        </w:rPr>
        <w:t>核心学术期刊认定范围以国家《关于深化新时代学校思想政治理论课改革创新的若干意见》和《河北省高、中级职称申报评审条件（试行）》有关规定为依据。</w:t>
      </w:r>
    </w:p>
    <w:p>
      <w:pPr>
        <w:rPr>
          <w:rFonts w:hint="eastAsia" w:ascii="楷体_GB2312" w:hAnsi="楷体_GB2312" w:eastAsia="楷体_GB2312" w:cs="楷体_GB2312"/>
          <w:sz w:val="24"/>
          <w:szCs w:val="24"/>
        </w:rPr>
      </w:pPr>
      <w:r>
        <w:rPr>
          <w:rFonts w:hint="eastAsia" w:ascii="楷体_GB2312" w:hAnsi="楷体_GB2312" w:eastAsia="楷体_GB2312" w:cs="楷体_GB2312"/>
          <w:spacing w:val="-10"/>
          <w:sz w:val="24"/>
          <w:szCs w:val="24"/>
        </w:rPr>
        <w:t>9.“满足基本条件后”是指当申报人将某项条件做为职称评、聘的必备条件时，所取得的业绩不加分。</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80D26"/>
    <w:rsid w:val="0ED8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2021-11-29T08:31:00Z</dcterms:created>
  <dc:creator>Geralt</dc:creator>
  <cp:lastModifiedBy>Geralt</cp:lastModifiedBy>
  <dcterms:modified xsi:type="dcterms:W3CDTF">2021-11-29T08:32:18Z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8199A0856F80489D9E2649362235CD29</vt:lpwstr>
  </property>
</Properties>
</file>